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2268"/>
        <w:gridCol w:w="3260"/>
        <w:gridCol w:w="2835"/>
      </w:tblGrid>
      <w:tr w:rsidR="00FE1F40" w:rsidRPr="00FD4CC9" w:rsidTr="00580BB7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E1F40" w:rsidRPr="00EC5FF7" w:rsidRDefault="00FE1F40" w:rsidP="00580BB7">
            <w:pPr>
              <w:pStyle w:val="SingleTxtG"/>
              <w:rPr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E1F40" w:rsidRPr="00FD4CC9" w:rsidRDefault="00FE1F40" w:rsidP="000906A4">
            <w:pPr>
              <w:spacing w:after="80" w:line="300" w:lineRule="exact"/>
              <w:rPr>
                <w:b/>
                <w:sz w:val="24"/>
                <w:szCs w:val="24"/>
                <w:lang w:val="ru-RU"/>
              </w:rPr>
            </w:pPr>
            <w:r w:rsidRPr="00FD4CC9">
              <w:rPr>
                <w:sz w:val="28"/>
                <w:szCs w:val="28"/>
                <w:lang w:val="ru-RU"/>
              </w:rPr>
              <w:t>Организация Объединенных Наций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FE1F40" w:rsidRPr="00FD4CC9" w:rsidRDefault="00FE1F40" w:rsidP="00580BB7">
            <w:pPr>
              <w:jc w:val="right"/>
              <w:rPr>
                <w:lang w:val="ru-RU"/>
              </w:rPr>
            </w:pPr>
            <w:r w:rsidRPr="00FD4CC9">
              <w:rPr>
                <w:sz w:val="40"/>
                <w:lang w:val="ru-RU"/>
              </w:rPr>
              <w:t>CEDAW</w:t>
            </w:r>
            <w:r w:rsidRPr="00FD4CC9">
              <w:rPr>
                <w:lang w:val="ru-RU"/>
              </w:rPr>
              <w:t>/C/MDA/CO/4-5</w:t>
            </w:r>
          </w:p>
        </w:tc>
      </w:tr>
      <w:tr w:rsidR="00FE1F40" w:rsidRPr="00FD4CC9" w:rsidTr="001F6DCD">
        <w:trPr>
          <w:cantSplit/>
          <w:trHeight w:hRule="exact" w:val="20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FE1F40" w:rsidRPr="00FD4CC9" w:rsidRDefault="00FE1F40" w:rsidP="00580BB7">
            <w:pPr>
              <w:spacing w:before="120"/>
              <w:jc w:val="center"/>
              <w:rPr>
                <w:lang w:val="ru-RU"/>
              </w:rPr>
            </w:pPr>
            <w:r w:rsidRPr="00AA47B6"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_unlogo" style="width:56.25pt;height:45pt;visibility:visible">
                  <v:imagedata r:id="rId7" o:title=""/>
                </v:shape>
              </w:pic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E1F40" w:rsidRPr="00FD4CC9" w:rsidRDefault="00FE1F40" w:rsidP="00580BB7">
            <w:pPr>
              <w:spacing w:before="120" w:line="380" w:lineRule="exact"/>
              <w:rPr>
                <w:b/>
                <w:sz w:val="34"/>
                <w:szCs w:val="40"/>
                <w:lang w:val="ru-RU"/>
              </w:rPr>
            </w:pPr>
            <w:r w:rsidRPr="00FD4CC9">
              <w:rPr>
                <w:b/>
                <w:sz w:val="34"/>
                <w:szCs w:val="40"/>
                <w:lang w:val="ru-RU"/>
              </w:rPr>
              <w:t>Конвенция о ликвидации всех форм дискриминации в отношении женщин</w:t>
            </w:r>
          </w:p>
          <w:p w:rsidR="00FE1F40" w:rsidRPr="00FD4CC9" w:rsidRDefault="00FE1F40" w:rsidP="00580BB7">
            <w:pPr>
              <w:spacing w:before="120" w:line="420" w:lineRule="exact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FE1F40" w:rsidRDefault="00FE1F40" w:rsidP="00AD4429">
            <w:pPr>
              <w:spacing w:before="240" w:line="240" w:lineRule="exact"/>
            </w:pPr>
            <w:r>
              <w:t>Distr.: General</w:t>
            </w:r>
          </w:p>
          <w:p w:rsidR="00FE1F40" w:rsidRDefault="00FE1F40" w:rsidP="00AD4429">
            <w:pPr>
              <w:spacing w:line="240" w:lineRule="exact"/>
            </w:pPr>
            <w:r>
              <w:t>18 October 2013</w:t>
            </w:r>
          </w:p>
          <w:p w:rsidR="00FE1F40" w:rsidRDefault="00FE1F40" w:rsidP="00AD4429">
            <w:pPr>
              <w:spacing w:line="240" w:lineRule="exact"/>
            </w:pPr>
          </w:p>
          <w:p w:rsidR="00FE1F40" w:rsidRDefault="00FE1F40" w:rsidP="00AD4429">
            <w:pPr>
              <w:spacing w:line="240" w:lineRule="exact"/>
            </w:pPr>
            <w:r>
              <w:t>Original: English</w:t>
            </w:r>
          </w:p>
          <w:p w:rsidR="00FE1F40" w:rsidRDefault="00FE1F40" w:rsidP="00AD4429">
            <w:pPr>
              <w:spacing w:line="240" w:lineRule="exact"/>
            </w:pPr>
          </w:p>
          <w:p w:rsidR="00FE1F40" w:rsidRDefault="00FE1F40" w:rsidP="00AD4429">
            <w:pPr>
              <w:spacing w:line="240" w:lineRule="exact"/>
            </w:pPr>
          </w:p>
          <w:p w:rsidR="00FE1F40" w:rsidRPr="00C92B38" w:rsidRDefault="00FE1F40" w:rsidP="00AD4429">
            <w:pPr>
              <w:spacing w:line="240" w:lineRule="exact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ADVANCE UNEDITED VERSION</w:t>
            </w:r>
          </w:p>
        </w:tc>
      </w:tr>
    </w:tbl>
    <w:p w:rsidR="00FE1F40" w:rsidRPr="00FD4CC9" w:rsidRDefault="00FE1F40" w:rsidP="00636484">
      <w:pPr>
        <w:spacing w:before="120"/>
        <w:rPr>
          <w:b/>
          <w:bCs/>
          <w:sz w:val="24"/>
          <w:szCs w:val="24"/>
          <w:lang w:val="ru-RU"/>
        </w:rPr>
      </w:pPr>
      <w:r w:rsidRPr="00FD4CC9">
        <w:rPr>
          <w:b/>
          <w:bCs/>
          <w:sz w:val="24"/>
          <w:szCs w:val="24"/>
          <w:lang w:val="ru-RU"/>
        </w:rPr>
        <w:t>Комитет по ликвидации дискриминации</w:t>
      </w:r>
      <w:r>
        <w:rPr>
          <w:b/>
          <w:bCs/>
          <w:sz w:val="24"/>
          <w:szCs w:val="24"/>
          <w:lang w:val="en-US"/>
        </w:rPr>
        <w:t xml:space="preserve"> </w:t>
      </w:r>
      <w:r w:rsidRPr="00FD4CC9">
        <w:rPr>
          <w:b/>
          <w:bCs/>
          <w:sz w:val="24"/>
          <w:szCs w:val="24"/>
          <w:lang w:val="ru-RU"/>
        </w:rPr>
        <w:t>в отношении женщин</w:t>
      </w:r>
    </w:p>
    <w:p w:rsidR="00FE1F40" w:rsidRPr="00FD4CC9" w:rsidRDefault="00FE1F40" w:rsidP="001F6DCD">
      <w:pPr>
        <w:keepNext/>
        <w:keepLines/>
        <w:tabs>
          <w:tab w:val="right" w:pos="851"/>
        </w:tabs>
        <w:spacing w:before="360" w:after="240" w:line="300" w:lineRule="exact"/>
        <w:ind w:right="99"/>
        <w:rPr>
          <w:b/>
          <w:sz w:val="28"/>
          <w:highlight w:val="yellow"/>
          <w:lang w:val="ru-RU"/>
        </w:rPr>
      </w:pPr>
      <w:r>
        <w:rPr>
          <w:b/>
          <w:sz w:val="28"/>
          <w:lang w:val="ru-RU"/>
        </w:rPr>
        <w:tab/>
      </w:r>
      <w:r w:rsidRPr="00FD4CC9">
        <w:rPr>
          <w:b/>
          <w:sz w:val="28"/>
          <w:lang w:val="ru-RU"/>
        </w:rPr>
        <w:t>Заключительные замечания в отношении объединенных четвертого и пятого периодических докладов Республики Молдова</w:t>
      </w:r>
      <w:r w:rsidRPr="00FD4CC9">
        <w:rPr>
          <w:rStyle w:val="FootnoteReference"/>
          <w:b/>
          <w:sz w:val="20"/>
          <w:lang w:val="ru-RU"/>
        </w:rPr>
        <w:footnoteReference w:customMarkFollows="1" w:id="1"/>
        <w:t>*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1.</w:t>
      </w:r>
      <w:r w:rsidRPr="00FD4CC9">
        <w:rPr>
          <w:lang w:val="ru-RU"/>
        </w:rPr>
        <w:tab/>
        <w:t>Комитет рассмотрел объединенные четвертый и пятый периодические доклады Республики Молдова (CEDAW/C/MDA/4-5) на 1159-ой и 1160-ой встречах 1 октября 2013 года (CEDAW/C/SR.1159 и 1160).  Перечень тем и вопросов Комитета содержится в CEDAW/C/MDA/Q/4-5, а ответы Правительства Республики Молдова в CEDAW/C/MDA/Q/4-5/Add.1.</w:t>
      </w:r>
    </w:p>
    <w:p w:rsidR="00FE1F40" w:rsidRPr="00FD4CC9" w:rsidRDefault="00FE1F40" w:rsidP="001F6DCD">
      <w:pPr>
        <w:pStyle w:val="H1G"/>
        <w:ind w:left="0" w:right="99" w:firstLine="0"/>
        <w:rPr>
          <w:lang w:val="ru-RU"/>
        </w:rPr>
      </w:pPr>
      <w:r w:rsidRPr="00FD4CC9">
        <w:rPr>
          <w:lang w:val="ru-RU"/>
        </w:rPr>
        <w:tab/>
        <w:t>A.</w:t>
      </w:r>
      <w:r w:rsidRPr="00FD4CC9">
        <w:rPr>
          <w:lang w:val="ru-RU"/>
        </w:rPr>
        <w:tab/>
        <w:t>Введение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2.</w:t>
      </w:r>
      <w:r w:rsidRPr="00FD4CC9">
        <w:rPr>
          <w:lang w:val="ru-RU"/>
        </w:rPr>
        <w:tab/>
        <w:t xml:space="preserve">Комитет выражает благодарность </w:t>
      </w:r>
      <w:r>
        <w:rPr>
          <w:lang w:val="ru-RU"/>
        </w:rPr>
        <w:t>государству-участнику</w:t>
      </w:r>
      <w:r w:rsidRPr="00FD4CC9">
        <w:rPr>
          <w:lang w:val="ru-RU"/>
        </w:rPr>
        <w:t xml:space="preserve">, за составление объединенных четвертого и пятого периодических докладов.  Он также выражает благодарность </w:t>
      </w:r>
      <w:r>
        <w:rPr>
          <w:lang w:val="ru-RU"/>
        </w:rPr>
        <w:t>государству-участнику</w:t>
      </w:r>
      <w:r w:rsidRPr="00FD4CC9">
        <w:rPr>
          <w:lang w:val="ru-RU"/>
        </w:rPr>
        <w:t xml:space="preserve"> за предоставление ответов в письменном виде на ряд тем и вопросов, затронутых на заседании предсессионной рабочей группы, а также за дальнейшие пояснения </w:t>
      </w:r>
      <w:r>
        <w:rPr>
          <w:lang w:val="ru-RU"/>
        </w:rPr>
        <w:t xml:space="preserve">к вопросам, заданным </w:t>
      </w:r>
      <w:r w:rsidRPr="00FD4CC9">
        <w:rPr>
          <w:lang w:val="ru-RU"/>
        </w:rPr>
        <w:t>в устной форме Комитетом.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3.</w:t>
      </w:r>
      <w:r w:rsidRPr="00FD4CC9">
        <w:rPr>
          <w:lang w:val="ru-RU"/>
        </w:rPr>
        <w:tab/>
        <w:t xml:space="preserve">Комитет выражает признательность </w:t>
      </w:r>
      <w:r>
        <w:rPr>
          <w:lang w:val="ru-RU"/>
        </w:rPr>
        <w:t>государству-участнику</w:t>
      </w:r>
      <w:r w:rsidRPr="00FD4CC9">
        <w:rPr>
          <w:lang w:val="ru-RU"/>
        </w:rPr>
        <w:t xml:space="preserve"> за делегацию, возглавляемую Заместителем министра труда, социальной защиты и семьи, г-ном Серджиу Саинчук, в которую вошли представители Министерства иностранных дел и европейской интеграции, Генеральной инспекции полиции, а также Постоянное представительство Республики Молдова при Организации Объединенных Наций в Женеве.  Комитет выражает признательность за конструктив</w:t>
      </w:r>
      <w:r>
        <w:rPr>
          <w:lang w:val="ru-RU"/>
        </w:rPr>
        <w:t xml:space="preserve">ный диалог, состоявшийся в ходе </w:t>
      </w:r>
      <w:r w:rsidRPr="00FD4CC9">
        <w:rPr>
          <w:lang w:val="ru-RU"/>
        </w:rPr>
        <w:t xml:space="preserve">делегации. </w:t>
      </w:r>
    </w:p>
    <w:p w:rsidR="00FE1F40" w:rsidRPr="00FD4CC9" w:rsidRDefault="00FE1F40" w:rsidP="001F6DCD">
      <w:pPr>
        <w:pStyle w:val="H1G"/>
        <w:ind w:left="0" w:right="99" w:firstLine="0"/>
        <w:rPr>
          <w:lang w:val="ru-RU"/>
        </w:rPr>
      </w:pPr>
      <w:r w:rsidRPr="00FD4CC9">
        <w:rPr>
          <w:lang w:val="ru-RU"/>
        </w:rPr>
        <w:tab/>
        <w:t>B.</w:t>
      </w:r>
      <w:r w:rsidRPr="00FD4CC9">
        <w:rPr>
          <w:lang w:val="ru-RU"/>
        </w:rPr>
        <w:tab/>
        <w:t>Положительные характеристики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4.</w:t>
      </w:r>
      <w:r w:rsidRPr="00FD4CC9">
        <w:rPr>
          <w:lang w:val="ru-RU"/>
        </w:rPr>
        <w:tab/>
        <w:t>Комитет приветствует создание Совета по предупреждению и ликвидации дискриминации и обеспечении равенства в 2013 году («Антидискриминационный совет»).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5.</w:t>
      </w:r>
      <w:r w:rsidRPr="00FD4CC9">
        <w:rPr>
          <w:lang w:val="ru-RU"/>
        </w:rPr>
        <w:tab/>
        <w:t>Комитет приветствует принятие Закона № 121 об обеспечении равенства в 2012 году и Закона № 45-XVI о предупреждении и борьбе с насилием в семье в 2008 году.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6.</w:t>
      </w:r>
      <w:r w:rsidRPr="00FD4CC9">
        <w:rPr>
          <w:lang w:val="ru-RU"/>
        </w:rPr>
        <w:tab/>
        <w:t>Комитет с признательностью отмечает принятие следующих документов: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(a)</w:t>
      </w:r>
      <w:r w:rsidRPr="00FD4CC9">
        <w:rPr>
          <w:lang w:val="ru-RU"/>
        </w:rPr>
        <w:tab/>
        <w:t xml:space="preserve">Стратегии Национальной системы перенаправления для предоставления защиты и помощи жертвам и потенциальным жертвам торговли людьми на период 2009-2016 гг., и ее план действий по реализации, 2009-2011 гг.; и, 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(b)</w:t>
      </w:r>
      <w:r w:rsidRPr="00FD4CC9">
        <w:rPr>
          <w:lang w:val="ru-RU"/>
        </w:rPr>
        <w:tab/>
        <w:t>Национальной программы по обеспечению гендерного</w:t>
      </w:r>
      <w:r>
        <w:rPr>
          <w:lang w:val="ru-RU"/>
        </w:rPr>
        <w:t xml:space="preserve"> равенства и связанны</w:t>
      </w:r>
      <w:r w:rsidRPr="00FD4CC9">
        <w:rPr>
          <w:lang w:val="ru-RU"/>
        </w:rPr>
        <w:t>й с ней национальный план действий (2010-2015).</w:t>
      </w:r>
    </w:p>
    <w:p w:rsidR="00FE1F40" w:rsidRPr="00FD4CC9" w:rsidRDefault="00FE1F40" w:rsidP="001F6DCD">
      <w:pPr>
        <w:pStyle w:val="SingleTxtG"/>
        <w:ind w:left="0" w:right="99"/>
        <w:rPr>
          <w:rFonts w:eastAsia="SimSun"/>
          <w:lang w:val="ru-RU" w:eastAsia="zh-CN"/>
        </w:rPr>
      </w:pPr>
      <w:r w:rsidRPr="00FD4CC9">
        <w:rPr>
          <w:rFonts w:eastAsia="SimSun"/>
          <w:lang w:val="ru-RU" w:eastAsia="zh-CN"/>
        </w:rPr>
        <w:t>7.</w:t>
      </w:r>
      <w:r w:rsidRPr="00FD4CC9">
        <w:rPr>
          <w:rFonts w:eastAsia="SimSun"/>
          <w:lang w:val="ru-RU" w:eastAsia="zh-CN"/>
        </w:rPr>
        <w:tab/>
        <w:t xml:space="preserve">Комитет приветствует принятие в 2012 году государством-участником поправки в статью 20, часть 1 Конвенции, а также заявление, сделанное в </w:t>
      </w:r>
      <w:r w:rsidRPr="00FD4CC9">
        <w:rPr>
          <w:lang w:val="ru-RU"/>
        </w:rPr>
        <w:t xml:space="preserve">2013 году на основании статьи 14, части 1 Международной конвенции о ликвидации всех форм расовой дискриминации, которое признает полномочия Комитета получать и рассматривать сообщения, </w:t>
      </w:r>
      <w:r w:rsidRPr="00FD4CC9">
        <w:rPr>
          <w:rFonts w:eastAsia="SimSun"/>
          <w:lang w:val="ru-RU" w:eastAsia="zh-CN"/>
        </w:rPr>
        <w:t>а также ратификацию следующих международных договоров:</w:t>
      </w:r>
    </w:p>
    <w:p w:rsidR="00FE1F40" w:rsidRPr="00FD4CC9" w:rsidRDefault="00FE1F40" w:rsidP="001F6DCD">
      <w:pPr>
        <w:pStyle w:val="SingleTxtG"/>
        <w:ind w:left="0" w:right="99"/>
        <w:rPr>
          <w:rFonts w:eastAsia="SimSun"/>
          <w:lang w:val="ru-RU" w:eastAsia="zh-CN"/>
        </w:rPr>
      </w:pPr>
      <w:r w:rsidRPr="00FD4CC9">
        <w:rPr>
          <w:rFonts w:eastAsia="SimSun"/>
          <w:lang w:val="ru-RU" w:eastAsia="zh-CN"/>
        </w:rPr>
        <w:tab/>
        <w:t>(a)</w:t>
      </w:r>
      <w:r w:rsidRPr="00FD4CC9">
        <w:rPr>
          <w:rFonts w:eastAsia="SimSun"/>
          <w:lang w:val="ru-RU" w:eastAsia="zh-CN"/>
        </w:rPr>
        <w:tab/>
        <w:t>Конвенцию о правах инвалидов в 2010 году;</w:t>
      </w:r>
    </w:p>
    <w:p w:rsidR="00FE1F40" w:rsidRPr="00FD4CC9" w:rsidRDefault="00FE1F40" w:rsidP="001F6DCD">
      <w:pPr>
        <w:pStyle w:val="SingleTxtG"/>
        <w:ind w:left="0" w:right="99"/>
        <w:rPr>
          <w:rFonts w:eastAsia="SimSun"/>
          <w:lang w:val="ru-RU" w:eastAsia="zh-CN"/>
        </w:rPr>
      </w:pPr>
      <w:r w:rsidRPr="00FD4CC9">
        <w:rPr>
          <w:rFonts w:eastAsia="SimSun"/>
          <w:lang w:val="ru-RU" w:eastAsia="zh-CN"/>
        </w:rPr>
        <w:t>(b)</w:t>
      </w:r>
      <w:r w:rsidRPr="00FD4CC9">
        <w:rPr>
          <w:rFonts w:eastAsia="SimSun"/>
          <w:lang w:val="ru-RU" w:eastAsia="zh-CN"/>
        </w:rPr>
        <w:tab/>
        <w:t>Факультативный протокол к Международному пакту о гражданских и политических правах, в 2008 году;</w:t>
      </w:r>
    </w:p>
    <w:p w:rsidR="00FE1F40" w:rsidRPr="00FD4CC9" w:rsidRDefault="00FE1F40" w:rsidP="001F6DCD">
      <w:pPr>
        <w:pStyle w:val="SingleTxtG"/>
        <w:ind w:left="0" w:right="99"/>
        <w:rPr>
          <w:rFonts w:eastAsia="SimSun"/>
          <w:lang w:val="ru-RU" w:eastAsia="zh-CN"/>
        </w:rPr>
      </w:pPr>
      <w:r w:rsidRPr="00FD4CC9">
        <w:rPr>
          <w:rFonts w:eastAsia="SimSun"/>
          <w:lang w:val="ru-RU" w:eastAsia="zh-CN"/>
        </w:rPr>
        <w:tab/>
        <w:t>(c)</w:t>
      </w:r>
      <w:r w:rsidRPr="00FD4CC9">
        <w:rPr>
          <w:rFonts w:eastAsia="SimSun"/>
          <w:lang w:val="ru-RU" w:eastAsia="zh-CN"/>
        </w:rPr>
        <w:tab/>
        <w:t>Факультативный протокол к Конвенции о правах ребенка, касающийся торговли детьми, детской проституции и детской порнографии, в 2007 году; и,</w:t>
      </w:r>
    </w:p>
    <w:p w:rsidR="00FE1F40" w:rsidRPr="00FD4CC9" w:rsidRDefault="00FE1F40" w:rsidP="001F6DCD">
      <w:pPr>
        <w:pStyle w:val="SingleTxtG"/>
        <w:ind w:left="0" w:right="99"/>
        <w:rPr>
          <w:rFonts w:eastAsia="SimSun"/>
          <w:lang w:val="ru-RU" w:eastAsia="zh-CN"/>
        </w:rPr>
      </w:pPr>
      <w:r w:rsidRPr="00FD4CC9">
        <w:rPr>
          <w:rFonts w:eastAsia="SimSun"/>
          <w:lang w:val="ru-RU" w:eastAsia="zh-CN"/>
        </w:rPr>
        <w:tab/>
        <w:t>(d)</w:t>
      </w:r>
      <w:r w:rsidRPr="00FD4CC9">
        <w:rPr>
          <w:rFonts w:eastAsia="SimSun"/>
          <w:lang w:val="ru-RU" w:eastAsia="zh-CN"/>
        </w:rPr>
        <w:tab/>
        <w:t>Второй Факультативный протокол к Международному пакту о гражданских и политических правах, направленный на отмену смертной казни, в 2006 году.</w:t>
      </w:r>
    </w:p>
    <w:p w:rsidR="00FE1F40" w:rsidRPr="00FD4CC9" w:rsidRDefault="00FE1F40" w:rsidP="001F6DCD">
      <w:pPr>
        <w:pStyle w:val="H1G"/>
        <w:ind w:left="0" w:right="99" w:firstLine="0"/>
        <w:rPr>
          <w:lang w:val="ru-RU"/>
        </w:rPr>
      </w:pPr>
      <w:r w:rsidRPr="00FD4CC9">
        <w:rPr>
          <w:lang w:val="ru-RU"/>
        </w:rPr>
        <w:tab/>
        <w:t>C.</w:t>
      </w:r>
      <w:r w:rsidRPr="00FD4CC9">
        <w:rPr>
          <w:lang w:val="ru-RU"/>
        </w:rPr>
        <w:tab/>
        <w:t>Основные проблемные вопросы и рекомендации</w:t>
      </w:r>
    </w:p>
    <w:p w:rsidR="00FE1F40" w:rsidRPr="00FD4CC9" w:rsidRDefault="00FE1F40" w:rsidP="001F6DCD">
      <w:pPr>
        <w:pStyle w:val="H23G"/>
        <w:ind w:left="0" w:right="99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Парламент</w:t>
      </w:r>
    </w:p>
    <w:p w:rsidR="00FE1F40" w:rsidRPr="00FD4CC9" w:rsidRDefault="00FE1F40" w:rsidP="001F6DCD">
      <w:pPr>
        <w:pStyle w:val="SingleTxtG"/>
        <w:ind w:left="0" w:right="99"/>
        <w:rPr>
          <w:b/>
          <w:lang w:val="ru-RU"/>
        </w:rPr>
      </w:pPr>
      <w:r w:rsidRPr="00FD4CC9">
        <w:rPr>
          <w:lang w:val="ru-RU"/>
        </w:rPr>
        <w:t>8.</w:t>
      </w:r>
      <w:r w:rsidRPr="00FD4CC9">
        <w:rPr>
          <w:b/>
          <w:lang w:val="ru-RU"/>
        </w:rPr>
        <w:tab/>
        <w:t>Подтверждая, что правительство несет главную ответственность</w:t>
      </w:r>
      <w:r>
        <w:rPr>
          <w:b/>
          <w:lang w:val="ru-RU"/>
        </w:rPr>
        <w:t>,</w:t>
      </w:r>
      <w:r w:rsidRPr="00FD4CC9">
        <w:rPr>
          <w:b/>
          <w:lang w:val="ru-RU"/>
        </w:rPr>
        <w:t xml:space="preserve"> и</w:t>
      </w:r>
      <w:r>
        <w:rPr>
          <w:b/>
          <w:lang w:val="ru-RU"/>
        </w:rPr>
        <w:t>,</w:t>
      </w:r>
      <w:r w:rsidRPr="00FD4CC9">
        <w:rPr>
          <w:b/>
          <w:lang w:val="ru-RU"/>
        </w:rPr>
        <w:t xml:space="preserve"> в частности</w:t>
      </w:r>
      <w:r>
        <w:rPr>
          <w:b/>
          <w:lang w:val="ru-RU"/>
        </w:rPr>
        <w:t>,</w:t>
      </w:r>
      <w:r w:rsidRPr="00FD4CC9">
        <w:rPr>
          <w:b/>
          <w:lang w:val="ru-RU"/>
        </w:rPr>
        <w:t xml:space="preserve"> отвечает за полное выполнение обязательств </w:t>
      </w:r>
      <w:r>
        <w:rPr>
          <w:b/>
          <w:lang w:val="ru-RU"/>
        </w:rPr>
        <w:t>государства-участника</w:t>
      </w:r>
      <w:r w:rsidRPr="00FD4CC9">
        <w:rPr>
          <w:b/>
          <w:lang w:val="ru-RU"/>
        </w:rPr>
        <w:t xml:space="preserve"> в соответствии с Конвенцией, Комитет подчеркивает, что Конвенция имеет обязательную силу для всех ветвей власти и предлагает </w:t>
      </w:r>
      <w:r>
        <w:rPr>
          <w:b/>
          <w:lang w:val="ru-RU"/>
        </w:rPr>
        <w:t>государству-участнику</w:t>
      </w:r>
      <w:r w:rsidRPr="00FD4CC9">
        <w:rPr>
          <w:b/>
          <w:lang w:val="ru-RU"/>
        </w:rPr>
        <w:t xml:space="preserve"> призвать свой парламент в соответствии со своими процедурами и в соответствующих случаях, принять необходимые меры в отношении выполнения настоящих заключительных замечаний</w:t>
      </w:r>
      <w:r>
        <w:rPr>
          <w:b/>
          <w:lang w:val="ru-RU"/>
        </w:rPr>
        <w:t>,</w:t>
      </w:r>
      <w:r w:rsidRPr="00FD4CC9">
        <w:rPr>
          <w:b/>
          <w:lang w:val="ru-RU"/>
        </w:rPr>
        <w:t xml:space="preserve"> начиная с настоящего времени до следующего отчетного периода в рамках Конвенции.</w:t>
      </w:r>
    </w:p>
    <w:p w:rsidR="00FE1F40" w:rsidRPr="00FD4CC9" w:rsidRDefault="00FE1F40" w:rsidP="001F6DCD">
      <w:pPr>
        <w:pStyle w:val="H23G"/>
        <w:ind w:left="0" w:right="99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Конституционная и законодательная база и дискриминирующие законы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9.</w:t>
      </w:r>
      <w:r w:rsidRPr="00FD4CC9">
        <w:rPr>
          <w:lang w:val="ru-RU"/>
        </w:rPr>
        <w:tab/>
        <w:t xml:space="preserve"> Комитет выражает обеспокоенность по поводу: 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(a)</w:t>
      </w:r>
      <w:r w:rsidRPr="00FD4CC9">
        <w:rPr>
          <w:lang w:val="ru-RU"/>
        </w:rPr>
        <w:tab/>
        <w:t xml:space="preserve">Замедленного прогресса реформы юстиции </w:t>
      </w:r>
      <w:r>
        <w:rPr>
          <w:lang w:val="ru-RU"/>
        </w:rPr>
        <w:t>государства-участника</w:t>
      </w:r>
      <w:r w:rsidRPr="00FD4CC9">
        <w:rPr>
          <w:lang w:val="ru-RU"/>
        </w:rPr>
        <w:t xml:space="preserve">, направленной на гармонизацию национального законодательства с положениями конвенции, а также отсрочки и отсутствия четких временных рамок для принятия ряда важных законопроектов; 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(b)</w:t>
      </w:r>
      <w:r w:rsidRPr="00FD4CC9">
        <w:rPr>
          <w:lang w:val="ru-RU"/>
        </w:rPr>
        <w:tab/>
        <w:t xml:space="preserve">Недостаточно активное внедрение законов, направленных на ликвидацию дискриминации в отношении женщин; 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(c)</w:t>
      </w:r>
      <w:r w:rsidRPr="00FD4CC9">
        <w:rPr>
          <w:lang w:val="ru-RU"/>
        </w:rPr>
        <w:tab/>
      </w:r>
      <w:r w:rsidRPr="00C92B38">
        <w:rPr>
          <w:lang w:val="ru-RU"/>
        </w:rPr>
        <w:t>О</w:t>
      </w:r>
      <w:r>
        <w:rPr>
          <w:lang w:val="ru-RU"/>
        </w:rPr>
        <w:t>граниченного бюджета, выделяемого Анти - Дискриминационному Совету</w:t>
      </w:r>
      <w:r w:rsidRPr="00FD4CC9">
        <w:rPr>
          <w:lang w:val="ru-RU"/>
        </w:rPr>
        <w:t>;</w:t>
      </w:r>
    </w:p>
    <w:p w:rsidR="00FE1F40" w:rsidRPr="00FD4CC9" w:rsidRDefault="00FE1F40" w:rsidP="001F6DCD">
      <w:pPr>
        <w:pStyle w:val="SingleTxtG"/>
        <w:ind w:left="0" w:right="99"/>
        <w:rPr>
          <w:lang w:val="ru-RU"/>
        </w:rPr>
      </w:pPr>
      <w:r w:rsidRPr="00FD4CC9">
        <w:rPr>
          <w:lang w:val="ru-RU"/>
        </w:rPr>
        <w:t>(d)</w:t>
      </w:r>
      <w:r w:rsidRPr="00FD4CC9">
        <w:rPr>
          <w:lang w:val="ru-RU"/>
        </w:rPr>
        <w:tab/>
        <w:t xml:space="preserve">Слабая осведомлённость судебных органов о правах женщин и соответствующем внутреннем законодательстве и отсутствие систематического обучения в отношении конвенции и национального законодательства, продвигающих гендерное равенство. </w:t>
      </w:r>
    </w:p>
    <w:p w:rsidR="00FE1F40" w:rsidRPr="00FD4CC9" w:rsidRDefault="00FE1F40" w:rsidP="001F6DCD">
      <w:pPr>
        <w:pStyle w:val="SingleTxtG"/>
        <w:ind w:left="0" w:right="99"/>
        <w:rPr>
          <w:b/>
          <w:lang w:val="ru-RU"/>
        </w:rPr>
      </w:pPr>
      <w:r w:rsidRPr="00FD4CC9">
        <w:rPr>
          <w:lang w:val="ru-RU"/>
        </w:rPr>
        <w:t>10.</w:t>
      </w:r>
      <w:r w:rsidRPr="00FD4CC9">
        <w:rPr>
          <w:b/>
          <w:lang w:val="ru-RU"/>
        </w:rPr>
        <w:tab/>
        <w:t xml:space="preserve">Комитет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 xml:space="preserve">а: </w:t>
      </w:r>
    </w:p>
    <w:p w:rsidR="00FE1F40" w:rsidRPr="00FD4CC9" w:rsidRDefault="00FE1F40" w:rsidP="001F6DCD">
      <w:pPr>
        <w:pStyle w:val="SingleTxtG"/>
        <w:ind w:left="0" w:right="99"/>
        <w:rPr>
          <w:b/>
          <w:lang w:val="ru-RU"/>
        </w:rPr>
      </w:pPr>
      <w:r w:rsidRPr="00FD4CC9">
        <w:rPr>
          <w:b/>
          <w:lang w:val="ru-RU"/>
        </w:rPr>
        <w:t>(a)</w:t>
      </w:r>
      <w:r w:rsidRPr="00FD4CC9">
        <w:rPr>
          <w:b/>
          <w:lang w:val="ru-RU"/>
        </w:rPr>
        <w:tab/>
        <w:t xml:space="preserve"> Ускорить свои усилия по завершению процесса гармонизации собственного национального законодательства с положениями конвенции.  При этом </w:t>
      </w:r>
      <w:r>
        <w:rPr>
          <w:b/>
          <w:lang w:val="ru-RU"/>
        </w:rPr>
        <w:t>государству-участнику</w:t>
      </w:r>
      <w:r w:rsidRPr="00FD4CC9">
        <w:rPr>
          <w:b/>
          <w:lang w:val="ru-RU"/>
        </w:rPr>
        <w:t xml:space="preserve"> предлагается привлекать гражданское общество;</w:t>
      </w:r>
    </w:p>
    <w:p w:rsidR="00FE1F40" w:rsidRPr="00FD4CC9" w:rsidRDefault="00FE1F40" w:rsidP="001F6DCD">
      <w:pPr>
        <w:pStyle w:val="SingleTxtG"/>
        <w:ind w:left="0" w:right="99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  <w:t xml:space="preserve">Разрабатывать стратегии, в том числе повышать восприимчивость парламентариев к преодолению препятствий для принятия находящихся на рассмотрении законопроектов, и продвигаться к их принятию в запланированные сроки, начиная с настоящего времени до следующего отчетного периода; </w:t>
      </w:r>
    </w:p>
    <w:p w:rsidR="00FE1F40" w:rsidRPr="00FD4CC9" w:rsidRDefault="00FE1F40" w:rsidP="001F6DCD">
      <w:pPr>
        <w:pStyle w:val="SingleTxtG"/>
        <w:ind w:left="0" w:right="99"/>
        <w:rPr>
          <w:b/>
          <w:lang w:val="ru-RU"/>
        </w:rPr>
      </w:pPr>
      <w:r w:rsidRPr="00FD4CC9">
        <w:rPr>
          <w:b/>
          <w:lang w:val="ru-RU"/>
        </w:rPr>
        <w:t>(c)</w:t>
      </w:r>
      <w:r w:rsidRPr="00FD4CC9">
        <w:rPr>
          <w:b/>
          <w:lang w:val="ru-RU"/>
        </w:rPr>
        <w:tab/>
        <w:t>Обеспечить эффективное внедрение и применение существующего законодательства, направленного на ликвидацию</w:t>
      </w:r>
      <w:r w:rsidRPr="00FD4CC9">
        <w:rPr>
          <w:lang w:val="ru-RU"/>
        </w:rPr>
        <w:t xml:space="preserve"> </w:t>
      </w:r>
      <w:r w:rsidRPr="00FD4CC9">
        <w:rPr>
          <w:b/>
          <w:lang w:val="ru-RU"/>
        </w:rPr>
        <w:t xml:space="preserve">дискриминации в отношении женщин, с целью сокращения структурных недостатков, которые препятствуют эффективной реализации существенного гендерного равенства; </w:t>
      </w:r>
    </w:p>
    <w:p w:rsidR="00FE1F40" w:rsidRPr="00FD4CC9" w:rsidRDefault="00FE1F40" w:rsidP="001F6DCD">
      <w:pPr>
        <w:pStyle w:val="SingleTxtG"/>
        <w:ind w:left="0" w:right="99"/>
        <w:rPr>
          <w:b/>
          <w:lang w:val="ru-RU"/>
        </w:rPr>
      </w:pPr>
      <w:r w:rsidRPr="00FD4CC9">
        <w:rPr>
          <w:b/>
          <w:lang w:val="ru-RU"/>
        </w:rPr>
        <w:t>(d)</w:t>
      </w:r>
      <w:r w:rsidRPr="00FD4CC9">
        <w:rPr>
          <w:b/>
          <w:lang w:val="ru-RU"/>
        </w:rPr>
        <w:tab/>
        <w:t>Обеспечить Антидискриминационный совет достаточными кадровыми и финансовыми ресурсами для того, чтобы гарантировать, что он выполняет свою роль эффективным образом; и,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(e)</w:t>
      </w:r>
      <w:r w:rsidRPr="00FD4CC9">
        <w:rPr>
          <w:b/>
          <w:lang w:val="ru-RU"/>
        </w:rPr>
        <w:tab/>
        <w:t>Организовать систематическое обучение для судей, прокуроров и адвокатов в отношении конвенции, факультативного протокола к ней и соответствующего национального законодательства.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Применимость конвенции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11.</w:t>
      </w:r>
      <w:r w:rsidRPr="00FD4CC9">
        <w:rPr>
          <w:lang w:val="ru-RU"/>
        </w:rPr>
        <w:tab/>
        <w:t xml:space="preserve">Комитет принимает к сведению информацию, представленную делегацией </w:t>
      </w:r>
      <w:r>
        <w:rPr>
          <w:lang w:val="ru-RU"/>
        </w:rPr>
        <w:t>государства-участника</w:t>
      </w:r>
      <w:r w:rsidRPr="00FD4CC9">
        <w:rPr>
          <w:lang w:val="ru-RU"/>
        </w:rPr>
        <w:t xml:space="preserve"> в ходе диалога о том, что Приднестровье является частью Республики Молдова</w:t>
      </w:r>
      <w:r>
        <w:rPr>
          <w:lang w:val="ru-RU"/>
        </w:rPr>
        <w:t>,</w:t>
      </w:r>
      <w:r w:rsidRPr="00FD4CC9">
        <w:rPr>
          <w:lang w:val="ru-RU"/>
        </w:rPr>
        <w:t xml:space="preserve"> и</w:t>
      </w:r>
      <w:r>
        <w:rPr>
          <w:lang w:val="ru-RU"/>
        </w:rPr>
        <w:t>,</w:t>
      </w:r>
      <w:r w:rsidRPr="00FD4CC9">
        <w:rPr>
          <w:lang w:val="ru-RU"/>
        </w:rPr>
        <w:t xml:space="preserve"> что регион рассматривает способы внедрения отчета 2013-го года старшего эксперта ООН, г-н Томас</w:t>
      </w:r>
      <w:r>
        <w:rPr>
          <w:lang w:val="ru-RU"/>
        </w:rPr>
        <w:t>а</w:t>
      </w:r>
      <w:r w:rsidRPr="00FD4CC9">
        <w:rPr>
          <w:lang w:val="ru-RU"/>
        </w:rPr>
        <w:t xml:space="preserve"> Хаммарберг</w:t>
      </w:r>
      <w:r>
        <w:rPr>
          <w:lang w:val="ru-RU"/>
        </w:rPr>
        <w:t>а</w:t>
      </w:r>
      <w:r w:rsidRPr="00FD4CC9">
        <w:rPr>
          <w:lang w:val="ru-RU"/>
        </w:rPr>
        <w:t>.</w:t>
      </w:r>
      <w:r w:rsidRPr="00FD4CC9">
        <w:rPr>
          <w:rStyle w:val="FootnoteReference"/>
          <w:lang w:val="ru-RU"/>
        </w:rPr>
        <w:footnoteReference w:id="2"/>
      </w:r>
      <w:r w:rsidRPr="00FD4CC9">
        <w:rPr>
          <w:lang w:val="ru-RU"/>
        </w:rPr>
        <w:t xml:space="preserve">  Тем не менее, Комитет по-прежнему обеспокоен тем, что женщины в Приднестровье не пользуются той же защитой равенства прав, как женщины в других </w:t>
      </w:r>
      <w:r>
        <w:rPr>
          <w:lang w:val="ru-RU"/>
        </w:rPr>
        <w:t xml:space="preserve">городах </w:t>
      </w:r>
      <w:r w:rsidRPr="00FD4CC9">
        <w:rPr>
          <w:lang w:val="ru-RU"/>
        </w:rPr>
        <w:t xml:space="preserve">Республики Молдова.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12.</w:t>
      </w:r>
      <w:r w:rsidRPr="00FD4CC9">
        <w:rPr>
          <w:b/>
          <w:lang w:val="ru-RU"/>
        </w:rPr>
        <w:tab/>
        <w:t xml:space="preserve">Комитет отмечает намерение </w:t>
      </w:r>
      <w:r>
        <w:rPr>
          <w:b/>
          <w:lang w:val="ru-RU"/>
        </w:rPr>
        <w:t>государства-участника</w:t>
      </w:r>
      <w:r w:rsidRPr="00FD4CC9">
        <w:rPr>
          <w:b/>
          <w:lang w:val="ru-RU"/>
        </w:rPr>
        <w:t xml:space="preserve"> внедрить рекомендации, содержащиеся в отчете Хаммарберга, и рекомендует ускорить свои усилия по достижению данной цели, в соответствии с недавним обещанием премьер-министра Республики Молдова, данным перед Генеральной ассамблеей ООН.  Комитет, также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 xml:space="preserve">а следовать, взятым в ходе универсального периодического обзора в 2011 году, своим обязательствам по воздействию на продвижения прав человека в Приднестровье.  В связи с этим, также необходимо инициировать сотрудничество с </w:t>
      </w:r>
      <w:r w:rsidRPr="00FD4CC9">
        <w:rPr>
          <w:b/>
          <w:i/>
          <w:lang w:val="ru-RU"/>
        </w:rPr>
        <w:t>фактическими</w:t>
      </w:r>
      <w:r w:rsidRPr="00FD4CC9">
        <w:rPr>
          <w:b/>
          <w:lang w:val="ru-RU"/>
        </w:rPr>
        <w:t xml:space="preserve"> органами власти Приднестровья и другими заинтересованными сторонами для предоставления женщинам из Приднестровья большей защиты и осуществления своих прав человека. 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Национальный механизм по улучшению положения женщин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13.</w:t>
      </w:r>
      <w:r w:rsidRPr="00FD4CC9">
        <w:rPr>
          <w:lang w:val="ru-RU"/>
        </w:rPr>
        <w:tab/>
        <w:t xml:space="preserve">Отмечая информацию, представленную </w:t>
      </w:r>
      <w:r>
        <w:rPr>
          <w:lang w:val="ru-RU"/>
        </w:rPr>
        <w:t>г</w:t>
      </w:r>
      <w:r w:rsidRPr="00FD4CC9">
        <w:rPr>
          <w:lang w:val="ru-RU"/>
        </w:rPr>
        <w:t>осударством-участником относительно повторного введения координаторов по гендерным вопросам в органах местного управления, Комитет выражает обеспокоенность по поводу: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(a)</w:t>
      </w:r>
      <w:r w:rsidRPr="00FD4CC9">
        <w:rPr>
          <w:lang w:val="ru-RU"/>
        </w:rPr>
        <w:tab/>
        <w:t>Ограниченное сотрудничество между существующими органами, способствующими гендерному равенству и соответствующими министерствами на всех уровнях; частая смена персонала; слабая стратегия достижения гендерного равенства в рамках министерств на всех уровнях; а также недостаточное включение неблагополучных женщин в процесс формулирования политических мер и программ;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(b)</w:t>
      </w:r>
      <w:r w:rsidRPr="00FD4CC9">
        <w:rPr>
          <w:lang w:val="ru-RU"/>
        </w:rPr>
        <w:tab/>
        <w:t>Ограниченные полномочия по принятию решений, а также кадровые, финансовые и технические ресурсы национального механизма; и,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(c)</w:t>
      </w:r>
      <w:r w:rsidRPr="00FD4CC9">
        <w:rPr>
          <w:lang w:val="ru-RU"/>
        </w:rPr>
        <w:tab/>
        <w:t>Отсутствие информации относительно внедрения Национальной программы по обеспечению гендерного равенства и связанных с ней национальных планов действий (2010-2015) и о достигнутых до сих пор результатах.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14.</w:t>
      </w:r>
      <w:r w:rsidRPr="00FD4CC9">
        <w:rPr>
          <w:b/>
          <w:lang w:val="ru-RU"/>
        </w:rPr>
        <w:tab/>
        <w:t xml:space="preserve">Комитет напоминает о своей рекомендации (CEDAW/C/MDA/CO/3, часть 12) </w:t>
      </w:r>
      <w:r>
        <w:rPr>
          <w:b/>
          <w:lang w:val="ru-RU"/>
        </w:rPr>
        <w:t>государству-участнику</w:t>
      </w:r>
      <w:r w:rsidRPr="00FD4CC9">
        <w:rPr>
          <w:b/>
          <w:lang w:val="ru-RU"/>
        </w:rPr>
        <w:t xml:space="preserve"> по поводу оперативного укрепления национального механизма по улучшению положения женщин.  В связи с этим, государство должно установить эффективные механизмы сотрудничества между органами, способствующими гендерному равенству и соответствующими министерствами</w:t>
      </w:r>
      <w:r w:rsidRPr="00FD4CC9">
        <w:rPr>
          <w:lang w:val="ru-RU"/>
        </w:rPr>
        <w:t xml:space="preserve"> </w:t>
      </w:r>
      <w:r w:rsidRPr="00FD4CC9">
        <w:rPr>
          <w:b/>
          <w:lang w:val="ru-RU"/>
        </w:rPr>
        <w:t>для расширения и углубления стратегии достижения гендерного равенства на всех уровнях и во всех областях, охватываемых Конвенцией</w:t>
      </w:r>
      <w:r w:rsidRPr="00FD4CC9">
        <w:rPr>
          <w:b/>
          <w:bCs/>
          <w:lang w:val="ru-RU"/>
        </w:rPr>
        <w:t xml:space="preserve">, в том числе в отношении слабо защищённых групп женщин.  Комитет, также призывает </w:t>
      </w:r>
      <w:r>
        <w:rPr>
          <w:b/>
          <w:bCs/>
          <w:lang w:val="ru-RU"/>
        </w:rPr>
        <w:t>государство-участник</w:t>
      </w:r>
      <w:r w:rsidRPr="00FD4CC9">
        <w:rPr>
          <w:b/>
          <w:bCs/>
          <w:lang w:val="ru-RU"/>
        </w:rPr>
        <w:t xml:space="preserve">а укрепить правительственный комитет по обеспечению равенства между мужчинами и женщинами, путем предоставления ему большей видимости и полномочий по отношению к соответствующим министерствам, а также путем предоставления необходимых кадровых, финансовых и технических ресурсов для улучшения его эффективного функционирования и для обеспечения возможности содействия формированию обширных экспертных знаний относительно положения женщин </w:t>
      </w:r>
      <w:r>
        <w:rPr>
          <w:b/>
          <w:bCs/>
          <w:lang w:val="ru-RU"/>
        </w:rPr>
        <w:t>во всех областях, охватываемых К</w:t>
      </w:r>
      <w:r w:rsidRPr="00FD4CC9">
        <w:rPr>
          <w:b/>
          <w:bCs/>
          <w:lang w:val="ru-RU"/>
        </w:rPr>
        <w:t xml:space="preserve">онвенцией.  В завершении,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 xml:space="preserve"> следует реализовать Программу гендерного равенства, и предоставить, в своем следующем периодическом докладе, подробную информацию по этому вопросу. 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 xml:space="preserve">Временные специальные меры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15.</w:t>
      </w:r>
      <w:r w:rsidRPr="00FD4CC9">
        <w:rPr>
          <w:lang w:val="ru-RU"/>
        </w:rPr>
        <w:tab/>
        <w:t xml:space="preserve">Отмечая тот факт, что в предложенную поправку к Закону о правительстве были включены некоторые временные специальные меры для поощрения участия женщин в политической жизни, Комитет обеспокоен тем, что аналогичные законодательные попытки введения квот для женщин-кандидатов, присутствующих в списках политических партий провалились.  Комитет, также обеспокоен отсутствием понимания статьи 4, части 1 конвенции, и тем, что временные специальные меры не используются в других областях, охватываемых конвенцией для ускорения достижения фактического равенства между женщинами и мужчинами.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16.</w:t>
      </w:r>
      <w:r w:rsidRPr="00FD4CC9">
        <w:rPr>
          <w:b/>
          <w:lang w:val="ru-RU"/>
        </w:rPr>
        <w:tab/>
        <w:t xml:space="preserve">Комитет настоятельно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>а форсировать свои усилия по принятию предложенной поправки к Закону о правительстве и привлечению внимания парламентариев к важности</w:t>
      </w:r>
      <w:r w:rsidRPr="00FD4CC9">
        <w:rPr>
          <w:lang w:val="ru-RU"/>
        </w:rPr>
        <w:t xml:space="preserve"> </w:t>
      </w:r>
      <w:r w:rsidRPr="00FD4CC9">
        <w:rPr>
          <w:b/>
          <w:lang w:val="ru-RU"/>
        </w:rPr>
        <w:t xml:space="preserve">участия женщин в общественной жизни.  Комитет, также рекомендует </w:t>
      </w:r>
      <w:r>
        <w:rPr>
          <w:b/>
          <w:lang w:val="ru-RU"/>
        </w:rPr>
        <w:t>государству-участнику</w:t>
      </w:r>
      <w:r w:rsidRPr="00FD4CC9">
        <w:rPr>
          <w:b/>
          <w:lang w:val="ru-RU"/>
        </w:rPr>
        <w:t xml:space="preserve"> принять временные специальные меры, в соответствии со статьей 4, частью 1 конвенции, в которой женщины, в том числе женщины, представительницы этнических меньшинств и женщины с ограниченными возможностями, недостаточно представлены или поставлены в невыгодное положение, а также оценить и опубликовать анализ гендерного влияния этих мер.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 xml:space="preserve">Стереотипы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17.</w:t>
      </w:r>
      <w:r w:rsidRPr="00FD4CC9">
        <w:rPr>
          <w:lang w:val="ru-RU"/>
        </w:rPr>
        <w:tab/>
        <w:t xml:space="preserve">Комитет повторно выражает свою озабоченность сохранением патриархальных взглядов и глубоко укоренившихся стереотипов в отношении роли и обязанностей женщин и мужчин в семье и в обществе (CEDAW/C/MDA/CO/3, ч. 18).  Он отмечает, что подобные взгляды и стереотипы являются основными причинами (1) невыгодного положения женщин в политической и общественной жизни </w:t>
      </w:r>
      <w:r>
        <w:rPr>
          <w:lang w:val="ru-RU"/>
        </w:rPr>
        <w:t>государства-участника</w:t>
      </w:r>
      <w:r w:rsidRPr="00FD4CC9">
        <w:rPr>
          <w:lang w:val="ru-RU"/>
        </w:rPr>
        <w:t xml:space="preserve">; (2) насилия против женщин внутри </w:t>
      </w:r>
      <w:r>
        <w:rPr>
          <w:lang w:val="ru-RU"/>
        </w:rPr>
        <w:t>государства-участника</w:t>
      </w:r>
      <w:r w:rsidRPr="00FD4CC9">
        <w:rPr>
          <w:lang w:val="ru-RU"/>
        </w:rPr>
        <w:t>; и (3) гендерной сегрегации, как это отражено в выборе образования и вариантах трудоустройства для женщин и девочек.  К тому же, Комитет обеспокоен стойкими стереотипами в отношении пожилых женщин и женщин с ограниченными возможностями, а также существованием сексистских реклам.  В заключение, он обеспокоен тем, что</w:t>
      </w:r>
      <w:r>
        <w:rPr>
          <w:lang w:val="ru-RU"/>
        </w:rPr>
        <w:t>,</w:t>
      </w:r>
      <w:r w:rsidRPr="00FD4CC9">
        <w:rPr>
          <w:lang w:val="ru-RU"/>
        </w:rPr>
        <w:t xml:space="preserve"> несмотря на то, что </w:t>
      </w:r>
      <w:r>
        <w:rPr>
          <w:lang w:val="ru-RU"/>
        </w:rPr>
        <w:t>государство-участник</w:t>
      </w:r>
      <w:r w:rsidRPr="00FD4CC9">
        <w:rPr>
          <w:lang w:val="ru-RU"/>
        </w:rPr>
        <w:t xml:space="preserve"> является светским государством, религиозные институты зачастую способствуют закреплению традиционных гендерных ролей в семье и в обществе и воздействуют на политику государства, оказывая влияние на права человека.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18.</w:t>
      </w:r>
      <w:r w:rsidRPr="00FD4CC9">
        <w:rPr>
          <w:b/>
          <w:lang w:val="ru-RU"/>
        </w:rPr>
        <w:tab/>
        <w:t xml:space="preserve">Комитет настоятельно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>а:</w:t>
      </w:r>
      <w:r w:rsidRPr="00FD4CC9">
        <w:rPr>
          <w:b/>
          <w:bCs/>
          <w:lang w:val="ru-RU"/>
        </w:rPr>
        <w:t xml:space="preserve"> 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bCs/>
          <w:lang w:val="ru-RU"/>
        </w:rPr>
        <w:t>(a)</w:t>
      </w:r>
      <w:r w:rsidRPr="00FD4CC9">
        <w:rPr>
          <w:b/>
          <w:bCs/>
          <w:lang w:val="ru-RU"/>
        </w:rPr>
        <w:tab/>
        <w:t xml:space="preserve">Ликвидировать все формы сексуальной и гендерной дискриминации посредством системы образования и в рамках неформальных образовательных программ с целью устранения гендерных стереотипов из учебных материалов; включения вопросов прав человека в школьную программу; и, введение обязательных курсов во все программы </w:t>
      </w:r>
      <w:r w:rsidRPr="00CF45E6">
        <w:rPr>
          <w:b/>
          <w:bCs/>
          <w:lang w:val="ru-RU"/>
        </w:rPr>
        <w:t>подготовки учителей связанных с изучением способов, и учебная подготовка которых порождает гендерное неравенство;</w:t>
      </w:r>
      <w:r w:rsidRPr="00FD4CC9">
        <w:rPr>
          <w:b/>
          <w:bCs/>
          <w:lang w:val="ru-RU"/>
        </w:rPr>
        <w:t xml:space="preserve"> 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</w:r>
      <w:r w:rsidRPr="00FD4CC9">
        <w:rPr>
          <w:b/>
          <w:bCs/>
          <w:lang w:val="ru-RU"/>
        </w:rPr>
        <w:t>Разработать всеобъемлющую стратегию во всех секторах, ориентированную на женщин и мужчин, девочек и мальчиков, с целью преодоления патриархальных и основанных на половом признаке стереотипных взглядов в отношении роли и обязанностей женщин и мужчин в семье и в обществе</w:t>
      </w:r>
      <w:r w:rsidRPr="00FD4CC9">
        <w:rPr>
          <w:b/>
          <w:lang w:val="ru-RU"/>
        </w:rPr>
        <w:t>;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lang w:val="ru-RU"/>
        </w:rPr>
        <w:tab/>
        <w:t>(c)</w:t>
      </w:r>
      <w:r w:rsidRPr="00FD4CC9">
        <w:rPr>
          <w:b/>
          <w:lang w:val="ru-RU"/>
        </w:rPr>
        <w:tab/>
      </w:r>
      <w:r w:rsidRPr="00FD4CC9">
        <w:rPr>
          <w:b/>
          <w:bCs/>
          <w:lang w:val="ru-RU"/>
        </w:rPr>
        <w:t xml:space="preserve">Разработать программы информирования общественности и учебные программы для лиц, принимающих решения, работодателей, молодежи и уязвимых групп женщин, в том числе для </w:t>
      </w:r>
      <w:r w:rsidRPr="00FD4CC9">
        <w:rPr>
          <w:b/>
          <w:lang w:val="ru-RU"/>
        </w:rPr>
        <w:t>пожилых женщин и женщин с ограниченными возможностями</w:t>
      </w:r>
      <w:r w:rsidRPr="00FD4CC9">
        <w:rPr>
          <w:b/>
          <w:bCs/>
          <w:lang w:val="ru-RU"/>
        </w:rPr>
        <w:t xml:space="preserve">, с содержанием информации о правах женщин во всех областях, охватываемых Конвенцией; 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bCs/>
          <w:lang w:val="ru-RU"/>
        </w:rPr>
        <w:t>(d)</w:t>
      </w:r>
      <w:r w:rsidRPr="00FD4CC9">
        <w:rPr>
          <w:b/>
          <w:bCs/>
          <w:lang w:val="ru-RU"/>
        </w:rPr>
        <w:tab/>
        <w:t>Принять, в ускоренном порядке, закон о рекламе, который направлен, среди прочего, на запрет использования сексистской рекламы и обеспечение его эффективного внедрения; и,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bCs/>
          <w:lang w:val="ru-RU"/>
        </w:rPr>
        <w:tab/>
        <w:t>(e)</w:t>
      </w:r>
      <w:r w:rsidRPr="00FD4CC9">
        <w:rPr>
          <w:b/>
          <w:bCs/>
          <w:lang w:val="ru-RU"/>
        </w:rPr>
        <w:tab/>
        <w:t>Убедиться в том, что органы местного управления содействуют продвижению политических решений, основанных на принципах гендерного равенства, без вмешательства со стороны религиозных институтов.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Насилие в отношении женщин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19.</w:t>
      </w:r>
      <w:r w:rsidRPr="00FD4CC9">
        <w:rPr>
          <w:lang w:val="ru-RU"/>
        </w:rPr>
        <w:tab/>
        <w:t>Поддерживая Закон о предупреждении и борьбе с насилием в семье в 2008 году, который ввел новые защитные меры, а также поправки к Уголовному кодексу в 2010 году, которые признают домашнее насилие и изнасилование супругом супруги незаконными, Комитет повторно выражает серьезную озабоченность в отношении высокого уровня насилия в семье, включая насилие в отношении пожилых женщин, что сопряжено с недостающими данными о масштабах и формах насилия в отношении женщин.  Комитет также выражает озабоченность по поводу следующего: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ab/>
        <w:t>(a)</w:t>
      </w:r>
      <w:r w:rsidRPr="00FD4CC9">
        <w:rPr>
          <w:lang w:val="ru-RU"/>
        </w:rPr>
        <w:tab/>
        <w:t xml:space="preserve">Непоследовательное применение законов, направленных на борьбу с домашним насилием судебными инстанциями, работниками прокуратуры и полиции, что ослабляет доверие женщин к судебной системе, а также является причиной слабой информированности их о существующей правовой системе; 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(b)</w:t>
      </w:r>
      <w:r w:rsidRPr="00FD4CC9">
        <w:rPr>
          <w:lang w:val="ru-RU"/>
        </w:rPr>
        <w:tab/>
        <w:t>Полиция и работники прокуратуры не считают предпосылками  незначительные телесные повреждения и повторные акты насилия для возбуждения уголовного расследования, а также не желает вмешиваться в случаи домашнего насилия представителей рома;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(c)</w:t>
      </w:r>
      <w:r w:rsidRPr="00FD4CC9">
        <w:rPr>
          <w:lang w:val="ru-RU"/>
        </w:rPr>
        <w:tab/>
        <w:t xml:space="preserve">Неэффективность охранного ордера против подозреваемых правонарушителей, которые либо не выданы судом, либо выдаются со значительной задержкой; неспособность полицейских чиновников приводить в исполнение охранные ордера; недостаток необходимой поддержки жертвам из сельской местности и района Приднестровья, в том числе и убежища; недостаточная помощь со стороны государственной системы правовой помощи жертвам гендерного насилия; 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>
        <w:rPr>
          <w:lang w:val="ru-RU"/>
        </w:rPr>
        <w:tab/>
        <w:t>(d)    Н</w:t>
      </w:r>
      <w:r w:rsidRPr="005337B4">
        <w:rPr>
          <w:lang w:val="ru-RU"/>
        </w:rPr>
        <w:t>изкий уровень отчетности случаев сексуального насилия</w:t>
      </w:r>
      <w:r w:rsidRPr="00FD4CC9">
        <w:rPr>
          <w:lang w:val="ru-RU"/>
        </w:rPr>
        <w:t xml:space="preserve">, включая случая изнасилования, и неэффективное расследование и уголовное преследование в таких случаях; и, 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(e)</w:t>
      </w:r>
      <w:r w:rsidRPr="00FD4CC9">
        <w:rPr>
          <w:lang w:val="ru-RU"/>
        </w:rPr>
        <w:tab/>
        <w:t>Отчеты о некоторых женщинах-мигрантах из Молдовы, которых по возвращении в страну ждет клеймо позора и риск сексуального насилия.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20.</w:t>
      </w:r>
      <w:r w:rsidRPr="00FD4CC9">
        <w:rPr>
          <w:b/>
          <w:lang w:val="ru-RU"/>
        </w:rPr>
        <w:tab/>
        <w:t xml:space="preserve">На основании своей общей рекомендации № 19 (1992 года) относительно насилия против женщин, Комитет настоятельно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 xml:space="preserve">а: 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lang w:val="ru-RU"/>
        </w:rPr>
        <w:t>(a)</w:t>
      </w:r>
      <w:r w:rsidRPr="00FD4CC9">
        <w:rPr>
          <w:b/>
          <w:lang w:val="ru-RU"/>
        </w:rPr>
        <w:tab/>
        <w:t>Усилить контроль за соблюдением Уголовного кодекса и Закона о предупреждении и борьбе с насилием в семье, и других соответствующих внутренних законов, а также обеспечить тот факт, что все женщины и девочки, в том числе в частности женщины старшего возраста, женщины и девочки народности рома, женщины и девочки с ограниченными возможностями, пользуются защитой от насилия и имеют доступ к незамедлительным мерам по восстановлению; начинать расследования в силу занимаемой должности по всем подобным преступлениям и гарантировать привлечение к уголовной ответственности и наказание преступников соразмерно тяжести преступления</w:t>
      </w:r>
      <w:r w:rsidRPr="00FD4CC9">
        <w:rPr>
          <w:b/>
          <w:bCs/>
          <w:lang w:val="ru-RU"/>
        </w:rPr>
        <w:t xml:space="preserve">;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  <w:t xml:space="preserve">Форсировать свои усилия для внесения изменений в закон о предупреждении и борьбе с насилием в семье с целью замены защитных мер, выполняемых по распоряжению суда на систему защиты, осуществляемой по распоряжению полиции с тем, чтобы позволить полиции выдавать экстренные приказы по защите;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(c)</w:t>
      </w:r>
      <w:r w:rsidRPr="00FD4CC9">
        <w:rPr>
          <w:b/>
          <w:lang w:val="ru-RU"/>
        </w:rPr>
        <w:tab/>
        <w:t>Устранить любые препятствия, с которыми сталкиваются женщины при получении доступа к правосудию</w:t>
      </w:r>
      <w:r>
        <w:rPr>
          <w:b/>
          <w:lang w:val="ru-RU"/>
        </w:rPr>
        <w:t>,</w:t>
      </w:r>
      <w:r w:rsidRPr="00FD4CC9">
        <w:rPr>
          <w:b/>
          <w:lang w:val="ru-RU"/>
        </w:rPr>
        <w:t xml:space="preserve"> и гарантировать доступность юридической помощи всем жертвам насилия; призывать женщин сообщать о случаях домашнего и сексуального насилия путем информирования о преступном характере таких действий; предоставлять надлежащую помощь и защиту женщинам, пострадавшим от насилия, в том числе женщинам народности рома; а также увеличить число и финансирование приютов и гарантировать национальный охват, распространяющийся на женщин из сельской местности и Приднестровья;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(d)</w:t>
      </w:r>
      <w:r w:rsidRPr="00FD4CC9">
        <w:rPr>
          <w:b/>
          <w:lang w:val="ru-RU"/>
        </w:rPr>
        <w:tab/>
        <w:t>Обеспечить проведение всех расследований случаев сексуального насилия, в том числе совершенного против женщин-мигрантов из Молдовы, в соответствии с международными стандартами расследования, в том числе путем внесения изменений в существующие руководства по рассл</w:t>
      </w:r>
      <w:r>
        <w:rPr>
          <w:b/>
          <w:lang w:val="ru-RU"/>
        </w:rPr>
        <w:t>едованию изнасилований и других</w:t>
      </w:r>
      <w:r w:rsidRPr="00FD4CC9">
        <w:rPr>
          <w:b/>
          <w:lang w:val="ru-RU"/>
        </w:rPr>
        <w:t xml:space="preserve"> преступлений</w:t>
      </w:r>
      <w:r>
        <w:rPr>
          <w:b/>
          <w:lang w:val="ru-RU"/>
        </w:rPr>
        <w:t xml:space="preserve"> на сексуальной почве</w:t>
      </w:r>
      <w:r w:rsidRPr="00FD4CC9">
        <w:rPr>
          <w:b/>
          <w:lang w:val="ru-RU"/>
        </w:rPr>
        <w:t>;</w:t>
      </w:r>
      <w:r w:rsidRPr="00FD4CC9">
        <w:rPr>
          <w:b/>
          <w:lang w:val="ru-RU"/>
        </w:rPr>
        <w:tab/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(e)</w:t>
      </w:r>
      <w:r w:rsidRPr="00FD4CC9">
        <w:rPr>
          <w:b/>
          <w:lang w:val="ru-RU"/>
        </w:rPr>
        <w:tab/>
        <w:t>Улучшить систему сбора данных с целью обеспечения разбивки данных по типу насилия и характеру отношений между преступником и жертвой, поддерживать исследования в этой области и обеспечивать публичный доступ к информации и собранным данным; и,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(f)</w:t>
      </w:r>
      <w:r w:rsidRPr="00FD4CC9">
        <w:rPr>
          <w:b/>
          <w:lang w:val="ru-RU"/>
        </w:rPr>
        <w:tab/>
        <w:t>Ратифицировать Конвенцию Совета Европы о предупреждении и борьбе с насилием в отношении женщин и домашним насилием.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Торговля людьми и эксплуатация проституции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21.</w:t>
      </w:r>
      <w:r w:rsidRPr="00FD4CC9">
        <w:rPr>
          <w:lang w:val="ru-RU"/>
        </w:rPr>
        <w:tab/>
        <w:t xml:space="preserve">Признавая усилия </w:t>
      </w:r>
      <w:r>
        <w:rPr>
          <w:lang w:val="ru-RU"/>
        </w:rPr>
        <w:t>государства-участника</w:t>
      </w:r>
      <w:r w:rsidRPr="00FD4CC9">
        <w:rPr>
          <w:lang w:val="ru-RU"/>
        </w:rPr>
        <w:t xml:space="preserve"> в борьбе с торговлей людьми, Комитет обеспокоен тем, что </w:t>
      </w:r>
      <w:r>
        <w:rPr>
          <w:lang w:val="ru-RU"/>
        </w:rPr>
        <w:t>государство-участник</w:t>
      </w:r>
      <w:r w:rsidRPr="00FD4CC9">
        <w:rPr>
          <w:lang w:val="ru-RU"/>
        </w:rPr>
        <w:t xml:space="preserve"> по-прежнему является страной происхождения жертв торговли людьми в целях сексуальной эксплуатации и эксплуатации труда, а также тем, что приговоры виновных в торговле людьми являются мягкими.  Комитет особенно обеспокоен тем, что дети, родители которых мигрировали за границу, а также женщины, которые пережили домашнее насилие, являются особенно уязвимыми к торговле людьми.  Комитет также обеспокоен недостаточными услугами по реабилитации и реинтеграции для женщин и девочек, которые являются жертвами торговли людьми, в частности в Приднестровском регионе</w:t>
      </w:r>
      <w:r>
        <w:rPr>
          <w:lang w:val="ru-RU"/>
        </w:rPr>
        <w:t xml:space="preserve"> Республики Молдова</w:t>
      </w:r>
      <w:r w:rsidRPr="00FD4CC9">
        <w:rPr>
          <w:lang w:val="ru-RU"/>
        </w:rPr>
        <w:t xml:space="preserve">.  В заключение, Комитет обеспокоен тем, что хотя, согласно Кодексу об административных правонарушениях, проституция является противозаконной в </w:t>
      </w:r>
      <w:r>
        <w:rPr>
          <w:lang w:val="ru-RU"/>
        </w:rPr>
        <w:t>г</w:t>
      </w:r>
      <w:r w:rsidRPr="00FD4CC9">
        <w:rPr>
          <w:lang w:val="ru-RU"/>
        </w:rPr>
        <w:t xml:space="preserve">осударстве-участнике, наказанию подвергаются только женщины, занимающиеся проституцией, а их клиенты – нет. 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Cs/>
          <w:lang w:val="ru-RU"/>
        </w:rPr>
        <w:t>22.</w:t>
      </w:r>
      <w:r w:rsidRPr="00FD4CC9">
        <w:rPr>
          <w:b/>
          <w:bCs/>
          <w:lang w:val="ru-RU"/>
        </w:rPr>
        <w:tab/>
        <w:t xml:space="preserve">Комитет призывает </w:t>
      </w:r>
      <w:r>
        <w:rPr>
          <w:b/>
          <w:bCs/>
          <w:lang w:val="ru-RU"/>
        </w:rPr>
        <w:t>государство-участник</w:t>
      </w:r>
      <w:r w:rsidRPr="00FD4CC9">
        <w:rPr>
          <w:b/>
          <w:bCs/>
          <w:lang w:val="ru-RU"/>
        </w:rPr>
        <w:t>а: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bCs/>
          <w:lang w:val="ru-RU"/>
        </w:rPr>
        <w:t>(a)</w:t>
      </w:r>
      <w:r w:rsidRPr="00FD4CC9">
        <w:rPr>
          <w:b/>
          <w:bCs/>
          <w:lang w:val="ru-RU"/>
        </w:rPr>
        <w:tab/>
        <w:t>Обеспечить своевременное уголовное преследование и соразмерное наказание торговцев людьми, а также пересмотреть свою политику применения наказаний в делах о торговле людьми</w:t>
      </w:r>
      <w:r w:rsidRPr="00FD4CC9">
        <w:rPr>
          <w:b/>
          <w:lang w:val="ru-RU"/>
        </w:rPr>
        <w:t>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</w:r>
      <w:r w:rsidRPr="00FD4CC9">
        <w:rPr>
          <w:b/>
          <w:bCs/>
          <w:lang w:val="ru-RU"/>
        </w:rPr>
        <w:t>Обеспечить обязательную подготовку по гендерным вопросам для судей, прокуроров, сотрудников полиции и других сотрудников правоохранительных органов с учетом правовых положений, связанных с торговлей людьми;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(c)</w:t>
      </w:r>
      <w:r w:rsidRPr="00FD4CC9">
        <w:rPr>
          <w:b/>
          <w:lang w:val="ru-RU"/>
        </w:rPr>
        <w:tab/>
        <w:t>Эффективно выполнять Национальный план действий, прилагаемы к Стратегии национальной системы перенаправления, направленной на раннее выявление и перенаправление жертв</w:t>
      </w:r>
      <w:r w:rsidRPr="00FD4CC9">
        <w:rPr>
          <w:b/>
          <w:bCs/>
          <w:lang w:val="ru-RU"/>
        </w:rPr>
        <w:t xml:space="preserve"> торговли людьми, и принимать предупредительные меры, такие как повышение уровня осведомленности о рисках торговли людьми для групп женщин, находящихся в неблагоприятном социальном положении</w:t>
      </w:r>
      <w:r w:rsidRPr="00FD4CC9">
        <w:rPr>
          <w:b/>
          <w:lang w:val="ru-RU"/>
        </w:rPr>
        <w:t>; и,</w:t>
      </w:r>
    </w:p>
    <w:p w:rsidR="00FE1F40" w:rsidRPr="00FD4CC9" w:rsidRDefault="00FE1F40" w:rsidP="001F6DCD">
      <w:pPr>
        <w:pStyle w:val="SingleTxt"/>
        <w:tabs>
          <w:tab w:val="clear" w:pos="1267"/>
          <w:tab w:val="left" w:pos="1134"/>
        </w:tabs>
        <w:ind w:left="0" w:right="-81"/>
        <w:rPr>
          <w:b/>
          <w:lang w:val="ru-RU"/>
        </w:rPr>
      </w:pPr>
      <w:r w:rsidRPr="00FD4CC9">
        <w:rPr>
          <w:b/>
          <w:lang w:val="ru-RU"/>
        </w:rPr>
        <w:tab/>
        <w:t>(d)</w:t>
      </w:r>
      <w:r w:rsidRPr="00FD4CC9">
        <w:rPr>
          <w:b/>
          <w:lang w:val="ru-RU"/>
        </w:rPr>
        <w:tab/>
        <w:t>Пересмотреть внутренние законы о проституции с целью обеспечения того, что женщины, занимающиеся проституцией</w:t>
      </w:r>
      <w:r>
        <w:rPr>
          <w:b/>
          <w:lang w:val="ru-RU"/>
        </w:rPr>
        <w:t>,</w:t>
      </w:r>
      <w:r w:rsidRPr="00FD4CC9">
        <w:rPr>
          <w:b/>
          <w:lang w:val="ru-RU"/>
        </w:rPr>
        <w:t xml:space="preserve"> не подвергаются дискриминации или наказанию посредством наложения административных штрафов, а также активизировать свои усилия в поддержке женщин, желающих оставить проституцию, предпринимать меры по снижению спроса на такие действия, а также рассмотреть вопрос о введении санкций для покупателей сексуальных услуг.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Участие в политической и общественной жизни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23.</w:t>
      </w:r>
      <w:r w:rsidRPr="00FD4CC9">
        <w:rPr>
          <w:lang w:val="ru-RU"/>
        </w:rPr>
        <w:tab/>
        <w:t xml:space="preserve">Комитет принимает к сведению предлагаемую поправку к Закону о правительстве, которая предусматривает обязательную квоту в </w:t>
      </w:r>
      <w:r>
        <w:rPr>
          <w:lang w:val="ru-RU"/>
        </w:rPr>
        <w:t xml:space="preserve">размере </w:t>
      </w:r>
      <w:r w:rsidRPr="00FD4CC9">
        <w:rPr>
          <w:lang w:val="ru-RU"/>
        </w:rPr>
        <w:t>40% для женщин в список кандидатов от партий, а также предлагаемую поправку к Закону о финансировании политических партий, которая предусматривает материальное стимулирование для политических партий, которые продвигают кандидатов-женщин.  Комитет особенно обеспокоен в связи с продолжающимся низким представительством женщин в Парламенте и в правительственных должностях на государственном, национальном и местном уровнях.  Комитет также обеспокоен тем, что женщины, находящиеся в неблагоприятном положении, в том числе женщины народности рома и женщины с ограниченными возможностями, практически полностью исключены из политической и общественной жизни.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24.</w:t>
      </w:r>
      <w:r w:rsidRPr="00FD4CC9">
        <w:rPr>
          <w:lang w:val="ru-RU"/>
        </w:rPr>
        <w:tab/>
      </w:r>
      <w:r w:rsidRPr="00FD4CC9">
        <w:rPr>
          <w:b/>
          <w:lang w:val="ru-RU"/>
        </w:rPr>
        <w:t xml:space="preserve">Комитет рекомендует </w:t>
      </w:r>
      <w:r>
        <w:rPr>
          <w:b/>
          <w:lang w:val="ru-RU"/>
        </w:rPr>
        <w:t>государству-участнику</w:t>
      </w:r>
      <w:r w:rsidRPr="00FD4CC9">
        <w:rPr>
          <w:b/>
          <w:lang w:val="ru-RU"/>
        </w:rPr>
        <w:t>: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(a)</w:t>
      </w:r>
      <w:r w:rsidRPr="00FD4CC9">
        <w:rPr>
          <w:b/>
          <w:lang w:val="ru-RU"/>
        </w:rPr>
        <w:tab/>
      </w:r>
      <w:r w:rsidRPr="00FD4CC9">
        <w:rPr>
          <w:b/>
          <w:bCs/>
          <w:lang w:val="ru-RU"/>
        </w:rPr>
        <w:t xml:space="preserve">Изучить основные причины, которые мешают женщинам участвовать в общественной и политической жизни и разработать стратегии по преодолению препятствий, а также предпринять эффективные меры для обеспечения оперативного принятия предложенных временных специальных мер, направленных на продвижение женщин в политике и на руководящие должности;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  <w:t>Активизировать свои усилия по обеспечению подготовки и укреплению потенциала для женщин с целью предоставления им возможности занять публичную должность и увеличить количество информационно-просветительских кампаний о важности полного и равного участия женщин в политической и общественной жизни; и,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bCs/>
          <w:lang w:val="ru-RU"/>
        </w:rPr>
        <w:t>(c)</w:t>
      </w:r>
      <w:r w:rsidRPr="00FD4CC9">
        <w:rPr>
          <w:b/>
          <w:bCs/>
          <w:lang w:val="ru-RU"/>
        </w:rPr>
        <w:tab/>
        <w:t>Ввести процедуры для обеспечения эффективного участия женщин народности рома и женщин с ограниченными возможностями в выборных должностях и назначаемых органов.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Образование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25.</w:t>
      </w:r>
      <w:r w:rsidRPr="00FD4CC9">
        <w:rPr>
          <w:lang w:val="ru-RU"/>
        </w:rPr>
        <w:tab/>
        <w:t xml:space="preserve">Отмечая высокий уровень образования женщин и девочек в </w:t>
      </w:r>
      <w:r>
        <w:rPr>
          <w:lang w:val="ru-RU"/>
        </w:rPr>
        <w:t>г</w:t>
      </w:r>
      <w:r w:rsidRPr="00FD4CC9">
        <w:rPr>
          <w:lang w:val="ru-RU"/>
        </w:rPr>
        <w:t>осударстве-участнике, Комитет по-прежнему обеспокоен стойким характером сегрегации женщин и девочек в областях после</w:t>
      </w:r>
      <w:r>
        <w:rPr>
          <w:lang w:val="ru-RU"/>
        </w:rPr>
        <w:t>-</w:t>
      </w:r>
      <w:r w:rsidRPr="00FD4CC9">
        <w:rPr>
          <w:lang w:val="ru-RU"/>
        </w:rPr>
        <w:t>школьного образования, в которых традиционно доминируют женщины и их слабой представленности в инженерном, технологическом секторе и других сферах образования, что негативно влияет на их шансы на интеграцию в более высокооплачиваемые сектора на рынке труда.  Комитет также выражает озабоченность ограниченным доступом девочек народности рома и девочек с ограниченными возможностями к основному и инклюзивному образованию, что приводит к низкому уровню их зачисления и высокому уровню ухода на уровне начальной школы, а также к негативному отношению к народности рома среди учителей и руководителей школы.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26.</w:t>
      </w:r>
      <w:r w:rsidRPr="00FD4CC9">
        <w:rPr>
          <w:b/>
          <w:lang w:val="ru-RU"/>
        </w:rPr>
        <w:tab/>
      </w:r>
      <w:r w:rsidRPr="00FD4CC9">
        <w:rPr>
          <w:b/>
          <w:bCs/>
          <w:lang w:val="ru-RU"/>
        </w:rPr>
        <w:t xml:space="preserve">Комитет рекомендует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>: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bCs/>
          <w:lang w:val="ru-RU"/>
        </w:rPr>
        <w:tab/>
        <w:t>(a)</w:t>
      </w:r>
      <w:r w:rsidRPr="00FD4CC9">
        <w:rPr>
          <w:b/>
          <w:bCs/>
          <w:lang w:val="ru-RU"/>
        </w:rPr>
        <w:tab/>
        <w:t>Призывать молодых женщин к выбору нетрадиционных областей знаний и профессий, в том числе посредством принятия временных специальных мер, а также внедрять программы, направленные на консультирование мальчиков и девочек по всему спектру вариантов выбора образования; и,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bCs/>
          <w:lang w:val="ru-RU"/>
        </w:rPr>
        <w:tab/>
        <w:t>(b)</w:t>
      </w:r>
      <w:r w:rsidRPr="00FD4CC9">
        <w:rPr>
          <w:b/>
          <w:bCs/>
          <w:lang w:val="ru-RU"/>
        </w:rPr>
        <w:tab/>
        <w:t xml:space="preserve">Облегчить доступ </w:t>
      </w:r>
      <w:r w:rsidRPr="00FD4CC9">
        <w:rPr>
          <w:b/>
          <w:lang w:val="ru-RU"/>
        </w:rPr>
        <w:t>девочек народности рома и девочек</w:t>
      </w:r>
      <w:r w:rsidRPr="00FD4CC9">
        <w:rPr>
          <w:b/>
          <w:bCs/>
          <w:lang w:val="ru-RU"/>
        </w:rPr>
        <w:t xml:space="preserve"> с ограниченными возможностями</w:t>
      </w:r>
      <w:r>
        <w:rPr>
          <w:b/>
          <w:bCs/>
          <w:lang w:val="ru-RU"/>
        </w:rPr>
        <w:t>,</w:t>
      </w:r>
      <w:r w:rsidRPr="00FD4CC9">
        <w:rPr>
          <w:b/>
          <w:bCs/>
          <w:lang w:val="ru-RU"/>
        </w:rPr>
        <w:t xml:space="preserve"> к качественному </w:t>
      </w:r>
      <w:r w:rsidRPr="00FD4CC9">
        <w:rPr>
          <w:b/>
          <w:lang w:val="ru-RU"/>
        </w:rPr>
        <w:t>основному и инклюзивному образованию</w:t>
      </w:r>
      <w:r w:rsidRPr="00FD4CC9">
        <w:rPr>
          <w:b/>
          <w:bCs/>
          <w:lang w:val="ru-RU"/>
        </w:rPr>
        <w:t xml:space="preserve"> и содействовать их удержанию на всех уровнях образования,</w:t>
      </w:r>
      <w:r w:rsidRPr="00FD4CC9">
        <w:rPr>
          <w:b/>
          <w:lang w:val="ru-RU"/>
        </w:rPr>
        <w:t xml:space="preserve"> путем устранения антицыганских настроений, и </w:t>
      </w:r>
      <w:r w:rsidRPr="00FD4CC9">
        <w:rPr>
          <w:b/>
          <w:bCs/>
          <w:lang w:val="ru-RU"/>
        </w:rPr>
        <w:t xml:space="preserve">информированности о важности образования как базы для расширения прав и возможностей женщин, а также усиление реализации политических мер по возвращению, давая возможность девочкам, покинувшим школу вернуться к учебе. </w:t>
      </w:r>
    </w:p>
    <w:p w:rsidR="00FE1F40" w:rsidRPr="00FD4CC9" w:rsidRDefault="00FE1F40" w:rsidP="001F6DCD">
      <w:pPr>
        <w:pStyle w:val="H23G"/>
        <w:ind w:left="0" w:right="-81" w:firstLine="0"/>
        <w:rPr>
          <w:bCs/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Трудоустройство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27.</w:t>
      </w:r>
      <w:r w:rsidRPr="00FD4CC9">
        <w:rPr>
          <w:b/>
          <w:lang w:val="ru-RU"/>
        </w:rPr>
        <w:tab/>
      </w:r>
      <w:r w:rsidRPr="00FD4CC9">
        <w:rPr>
          <w:lang w:val="ru-RU"/>
        </w:rPr>
        <w:t>Комитет обеспокоен продолжающейся профессиональной сегрегации и чрезмерная представленность женщин в низкооплачиваемых секторах, что также приводит к низким пенсиям для женщин; отсутствием внедрения принципа равной оплаты за труд равного значения и постоянный разрыв между зарплатами мужчин и женщин; а также исключение женщин народности рома и женщины с ограниченными возможностями из официального рынка труда.  Комитет также обеспокоен тем, что на женщин, работающих в неофициальном секторе, в том числе женщин из сельской местности и женщин старшего возраста, не распространяется социальная и правовая защита.  Комитет повторно выражает свою озабоченность относительно чрезмерно опекаемого отпуска по уходу за ребёнком в Трудовом кодексе и отсутствием родительского отпуска, что усиливает неравное распределение семейных обязанностей между мужчинами и женщинами, и может привести женщин к безработице и бедности.  Комитет также выражает свою озабоченность относительно различий в возрасте обязательного выхода на пенсию для мужчин и женщин (57 лет для женщин по сравнению с возрастом в 62 года для мужчин) а также относительно эффекта, производимого ранним, неравным выходом на пенсию на укрепление стереотипов и приводящего многих женщин</w:t>
      </w:r>
      <w:r w:rsidRPr="00FD4CC9">
        <w:rPr>
          <w:b/>
          <w:lang w:val="ru-RU"/>
        </w:rPr>
        <w:t xml:space="preserve"> </w:t>
      </w:r>
      <w:r w:rsidRPr="00FD4CC9">
        <w:rPr>
          <w:lang w:val="ru-RU"/>
        </w:rPr>
        <w:t>старшего возраста к бедности.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28.</w:t>
      </w:r>
      <w:r w:rsidRPr="00FD4CC9">
        <w:rPr>
          <w:b/>
          <w:lang w:val="ru-RU"/>
        </w:rPr>
        <w:tab/>
        <w:t xml:space="preserve">Комитет рекомендует </w:t>
      </w:r>
      <w:r>
        <w:rPr>
          <w:b/>
          <w:lang w:val="ru-RU"/>
        </w:rPr>
        <w:t>государству-участнику</w:t>
      </w:r>
      <w:r w:rsidRPr="00FD4CC9">
        <w:rPr>
          <w:b/>
          <w:lang w:val="ru-RU"/>
        </w:rPr>
        <w:t>: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(a)</w:t>
      </w:r>
      <w:r w:rsidRPr="00FD4CC9">
        <w:rPr>
          <w:b/>
          <w:lang w:val="ru-RU"/>
        </w:rPr>
        <w:tab/>
        <w:t>Активизировать усилия по ликвидации профессиональной сегрегации, в том числе посредством принятия временных специальных мер, и принять меры для внедрения принципа равной оплаты за труд равного значения и сократить и ликвидировать разрыв между зарплатами мужчин и женщин путем применения методологии оценки труда в государственном секторе в связи с увеличением заработной платы в отраслях, где преобладают женщины;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  <w:t xml:space="preserve">Расширить доступ женщинам народности рома, сельским женщинам, женщинам с ограниченными возможностями и женщинам старшего возраста к официальному трудоустройству, среди прочего, путем обеспечения эффективной реализации Стратегии гендерного равенства (2010-2015);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(c)</w:t>
      </w:r>
      <w:r w:rsidRPr="00FD4CC9">
        <w:rPr>
          <w:b/>
          <w:lang w:val="ru-RU"/>
        </w:rPr>
        <w:tab/>
        <w:t>Активизировать свои усилия по пересмотру положений Трудового кодекса относительно отпуска по уходу за ребенком для матери и отца и привлекать профсоюзы и женские организации, с целью предоставления возможности женщинам и мужчинам совмещать профессиональные и семейные обязанности;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(d)</w:t>
      </w:r>
      <w:r w:rsidRPr="00FD4CC9">
        <w:rPr>
          <w:b/>
          <w:lang w:val="ru-RU"/>
        </w:rPr>
        <w:tab/>
        <w:t xml:space="preserve">Поднять пенсионный возраст для женщин и уравнять его с мужским, и расширить программу пенсионного обеспечения с тем, чтобы обеспечить, по крайней мере, прожиточный минимум для женщин и мужчин; и,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(e)</w:t>
      </w:r>
      <w:r w:rsidRPr="00FD4CC9">
        <w:rPr>
          <w:b/>
          <w:lang w:val="ru-RU"/>
        </w:rPr>
        <w:tab/>
      </w:r>
      <w:r>
        <w:rPr>
          <w:b/>
          <w:lang w:val="ru-RU"/>
        </w:rPr>
        <w:t xml:space="preserve"> Учесть ратификацию Конвенции</w:t>
      </w:r>
      <w:r w:rsidRPr="00FD4CC9">
        <w:rPr>
          <w:b/>
          <w:lang w:val="ru-RU"/>
        </w:rPr>
        <w:t xml:space="preserve"> МОТ № 189 о достойном труде домашних работников. 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29.</w:t>
      </w:r>
      <w:r w:rsidRPr="00FD4CC9">
        <w:rPr>
          <w:lang w:val="ru-RU"/>
        </w:rPr>
        <w:tab/>
        <w:t>Отмечая существующий запрет на сексуальное домогательство в Законе об обеспечении равных возможностях для женщин и мужчин, Комитет сожалеет об отсутствии принудительных мер.  Комитет отмечает введение статьи 173 в Уголовный кодекс, которая относит сексуальное домогательство к уголовному преступлению, но сожалеет об отсутствии информации касательно судебных дел с применением этого положение.  Комитет особенно обеспокоен тем, что на практике, женщины, которые подверглись сексуальному домогательству, зачастую оставляют занимаемую должность, а преступники зачастую остаются безнаказанными.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30.</w:t>
      </w:r>
      <w:r w:rsidRPr="00FD4CC9">
        <w:rPr>
          <w:b/>
          <w:lang w:val="ru-RU"/>
        </w:rPr>
        <w:tab/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>а настоятельным образом призывают распространять и эффективно внедрять законы, запрещающие и криминализирующие сексуальное домогательство на рабочем месте; обеспечивать условия для того, чтобы женщины были осведомлены об этих законах и имели доступ к эффективным гражданским и уголовным средствам правовой защиты; а также собирать данные, дифференцированные по полу касательно количества и результатов проверок условий труда, судебных дел и административных жалоб, связанных с дискриминацией в сфере труда по половому признаку и сексуальным домогательством на рабочем месте.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Здравоохранение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31.</w:t>
      </w:r>
      <w:r w:rsidRPr="00FD4CC9">
        <w:rPr>
          <w:b/>
          <w:lang w:val="ru-RU"/>
        </w:rPr>
        <w:tab/>
      </w:r>
      <w:r w:rsidRPr="00FD4CC9">
        <w:rPr>
          <w:lang w:val="ru-RU"/>
        </w:rPr>
        <w:t xml:space="preserve">Комитет обеспокоен большим количеством абортов и низким уровнем использования, наличия, доступности и возможности приобретения современных форм контрацепции, в частности в Приднестровском регионе и сельской местности, что указывает на то, что аборт используется в качестве метода контроля над рождаемостью.  Комитет особенно обеспокоен сообщениями о применении принудительной стерилизации, в том числе в частности к женщинам с ограниченными возможностями, женщинам из сельской местности, и женщинам народности рома.  Комитет с беспокойством отмечает тот факт, что действующее положение о стерилизации Министерства здравоохранения указывает умственную неполноценность в качестве показателя для стерилизации.  Комитет также обеспокоен отсутствием в школах образовательных программ в области сексуального и репродуктивного здоровья и, связанных с этим прав, а также отсутствием данных, дифференцированных по полу.  Комитет также обеспокоен ограниченным доступом и доступностью медицинского обслуживания для женщин старшего возраста.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32.</w:t>
      </w:r>
      <w:r w:rsidRPr="00FD4CC9">
        <w:rPr>
          <w:lang w:val="ru-RU"/>
        </w:rPr>
        <w:tab/>
      </w:r>
      <w:r w:rsidRPr="00FD4CC9">
        <w:rPr>
          <w:b/>
          <w:lang w:val="ru-RU"/>
        </w:rPr>
        <w:t xml:space="preserve">Комитет настоятельно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 xml:space="preserve">а: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(a)</w:t>
      </w:r>
      <w:r w:rsidRPr="00FD4CC9">
        <w:rPr>
          <w:b/>
          <w:lang w:val="ru-RU"/>
        </w:rPr>
        <w:tab/>
        <w:t>Обеспечить наличие, доступность и возможность приобретения современных методов контрацепции для девочек и женщин;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  <w:t>Расширить доступность безопасных с медицинской точки зрения современных методов прерывания беременности, в том числе в Приднестровском регионе и сельской местности;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lang w:val="ru-RU"/>
        </w:rPr>
        <w:t>(c)</w:t>
      </w:r>
      <w:r w:rsidRPr="00FD4CC9">
        <w:rPr>
          <w:b/>
          <w:lang w:val="ru-RU"/>
        </w:rPr>
        <w:tab/>
      </w:r>
      <w:r w:rsidRPr="00FD4CC9">
        <w:rPr>
          <w:b/>
          <w:bCs/>
          <w:lang w:val="ru-RU"/>
        </w:rPr>
        <w:t xml:space="preserve">Повысить степень информированности о </w:t>
      </w:r>
      <w:r w:rsidRPr="00FD4CC9">
        <w:rPr>
          <w:b/>
          <w:lang w:val="ru-RU"/>
        </w:rPr>
        <w:t>важности использования противозачаточных средств для планирования семьи</w:t>
      </w:r>
      <w:r w:rsidRPr="00FD4CC9">
        <w:rPr>
          <w:b/>
          <w:bCs/>
          <w:lang w:val="ru-RU"/>
        </w:rPr>
        <w:t xml:space="preserve">, и рассмотреть включение аборта, а также </w:t>
      </w:r>
      <w:r w:rsidRPr="00FD4CC9">
        <w:rPr>
          <w:b/>
          <w:lang w:val="ru-RU"/>
        </w:rPr>
        <w:t xml:space="preserve">противозачаточных средств </w:t>
      </w:r>
      <w:r w:rsidRPr="00FD4CC9">
        <w:rPr>
          <w:b/>
          <w:bCs/>
          <w:lang w:val="ru-RU"/>
        </w:rPr>
        <w:t>в базовый пакет страхования;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bCs/>
          <w:lang w:val="ru-RU"/>
        </w:rPr>
        <w:t>(d)</w:t>
      </w:r>
      <w:r w:rsidRPr="00FD4CC9">
        <w:rPr>
          <w:b/>
          <w:bCs/>
          <w:lang w:val="ru-RU"/>
        </w:rPr>
        <w:tab/>
        <w:t xml:space="preserve">Изменить и разработать нормативно-правовую базу, а также руководящих указаний для практикующих врачей для обеспечения проведения стерилизации только в соответствии с международным правом, в частности с добровольного и информированного согласия соответствующих женщин; 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/>
          <w:bCs/>
          <w:lang w:val="ru-RU"/>
        </w:rPr>
        <w:t>(e)</w:t>
      </w:r>
      <w:r w:rsidRPr="00FD4CC9">
        <w:rPr>
          <w:b/>
          <w:bCs/>
          <w:lang w:val="ru-RU"/>
        </w:rPr>
        <w:tab/>
        <w:t xml:space="preserve">Ввести в школьную программу соответствующее возрасту образование в области сексуального и репродуктивного здоровья </w:t>
      </w:r>
      <w:r w:rsidRPr="00FD4CC9">
        <w:rPr>
          <w:b/>
          <w:lang w:val="ru-RU"/>
        </w:rPr>
        <w:t xml:space="preserve">и, связанных с этим </w:t>
      </w:r>
      <w:r w:rsidRPr="00FD4CC9">
        <w:rPr>
          <w:b/>
          <w:bCs/>
          <w:lang w:val="ru-RU"/>
        </w:rPr>
        <w:t>прав, в том числе относительно ответственного сексуального поведения;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(f)</w:t>
      </w:r>
      <w:r w:rsidRPr="00FD4CC9">
        <w:rPr>
          <w:b/>
          <w:lang w:val="ru-RU"/>
        </w:rPr>
        <w:tab/>
        <w:t>Обеспечить доступ и возможность приобретения</w:t>
      </w:r>
      <w:r w:rsidRPr="00FD4CC9">
        <w:rPr>
          <w:lang w:val="ru-RU"/>
        </w:rPr>
        <w:t xml:space="preserve"> </w:t>
      </w:r>
      <w:r w:rsidRPr="00FD4CC9">
        <w:rPr>
          <w:b/>
          <w:lang w:val="ru-RU"/>
        </w:rPr>
        <w:t>медицинского обслуживания</w:t>
      </w:r>
      <w:r w:rsidRPr="00FD4CC9">
        <w:rPr>
          <w:lang w:val="ru-RU"/>
        </w:rPr>
        <w:t xml:space="preserve"> </w:t>
      </w:r>
      <w:r w:rsidRPr="00FD4CC9">
        <w:rPr>
          <w:b/>
          <w:lang w:val="ru-RU"/>
        </w:rPr>
        <w:t>для женщин старшего возраста и подготовить работников здравоохранения касательно ухода за пожилыми пациентами; и,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(g)</w:t>
      </w:r>
      <w:r w:rsidRPr="00FD4CC9">
        <w:rPr>
          <w:b/>
          <w:lang w:val="ru-RU"/>
        </w:rPr>
        <w:tab/>
        <w:t xml:space="preserve">Интегрировать гендерную проблематику во все виды медицинской помощи и политики, а также собирать и анализировать данные, дифференцированные по полу. 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Женщины из сельской местности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33.</w:t>
      </w:r>
      <w:r w:rsidRPr="00FD4CC9">
        <w:rPr>
          <w:lang w:val="ru-RU"/>
        </w:rPr>
        <w:tab/>
        <w:t xml:space="preserve">Комитет обеспокоен ситуацией женщин из сельской местности, которые в большей степени уязвимы перед насилием и бедностью, и которые имеют ограниченный доступ к земельной собственности, кредитованию, медицинским и социальным услугам, и участию в процессе принятия решений на уровне сообщества.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34.</w:t>
      </w:r>
      <w:r w:rsidRPr="00FD4CC9">
        <w:rPr>
          <w:b/>
          <w:lang w:val="ru-RU"/>
        </w:rPr>
        <w:tab/>
        <w:t xml:space="preserve">Комитет рекомендует </w:t>
      </w:r>
      <w:r>
        <w:rPr>
          <w:b/>
          <w:lang w:val="ru-RU"/>
        </w:rPr>
        <w:t>государству-участнику</w:t>
      </w:r>
      <w:r w:rsidRPr="00FD4CC9">
        <w:rPr>
          <w:b/>
          <w:lang w:val="ru-RU"/>
        </w:rPr>
        <w:t>: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(a)</w:t>
      </w:r>
      <w:r w:rsidRPr="00FD4CC9">
        <w:rPr>
          <w:b/>
          <w:lang w:val="ru-RU"/>
        </w:rPr>
        <w:tab/>
        <w:t xml:space="preserve">Предпринять незамедлительные шаги для внедрения эффективных мер по ликвидации дискриминации в отношении женщин из сельской местности во всех областях, охватываемых Конвенцией, в том числе посредством использования временных специальных мер в соответствии со статьей 4, частью 1 Конвенции и общей рекомендацией Комитета № 25 (1992 года);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  <w:t>Активизировать усилия по расширению экономических и политических прав и возможностей женщин в сельской местности</w:t>
      </w:r>
      <w:r w:rsidRPr="008D1B3C">
        <w:rPr>
          <w:b/>
          <w:lang w:val="ru-RU"/>
        </w:rPr>
        <w:t>;</w:t>
      </w:r>
      <w:r>
        <w:rPr>
          <w:b/>
          <w:lang w:val="ru-RU"/>
        </w:rPr>
        <w:t xml:space="preserve"> </w:t>
      </w:r>
      <w:r w:rsidRPr="00FD4CC9">
        <w:rPr>
          <w:b/>
          <w:lang w:val="ru-RU"/>
        </w:rPr>
        <w:t>и,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(c)</w:t>
      </w:r>
      <w:r w:rsidRPr="00FD4CC9">
        <w:rPr>
          <w:b/>
          <w:lang w:val="ru-RU"/>
        </w:rPr>
        <w:tab/>
        <w:t xml:space="preserve">Включить в свой следующий периодический доклад информацию и данные, дифференцированные по признаку пола о доступе женщин из сельской местности к земельной собственности, кредитованию, медицинским и социальным услугам, и официальному рынку труда, а также включить гендерную проблематику в законопроект о земле. 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Женщины, находящиеся в неблагоприятном положении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35.</w:t>
      </w:r>
      <w:r w:rsidRPr="00FD4CC9">
        <w:rPr>
          <w:lang w:val="ru-RU"/>
        </w:rPr>
        <w:tab/>
        <w:t xml:space="preserve">Отмечая принятие Плана действий по поддержке этнического населения ромов на 2012-2017 гг. и постоянное формирование посредников для сообщества ромов на местном уровне, Комитет обеспокоен недостаточными финансовыми ресурсами, выделяемыми на реализацию плана действий, а также тем, что назначение посредников было проведено только в некоторых поселениях ромов. 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36.</w:t>
      </w:r>
      <w:r w:rsidRPr="00FD4CC9">
        <w:rPr>
          <w:b/>
          <w:lang w:val="ru-RU"/>
        </w:rPr>
        <w:tab/>
        <w:t xml:space="preserve">Комитет настоятельно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>а реализовать и выделить достаточное количество средств для национальных планов действий и стратегий, направленных на ликвидацию всех форм дискриминации в отношении женщин и девочек народности рома, а также назначить, без промедления, квалифицированных посредников для ромов</w:t>
      </w:r>
      <w:r w:rsidRPr="00FD4CC9">
        <w:rPr>
          <w:lang w:val="ru-RU"/>
        </w:rPr>
        <w:t xml:space="preserve"> </w:t>
      </w:r>
      <w:r w:rsidRPr="00FD4CC9">
        <w:rPr>
          <w:b/>
          <w:lang w:val="ru-RU"/>
        </w:rPr>
        <w:t>во всех поселениях ромов и выделить достаточно средств для этой должности.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37.</w:t>
      </w:r>
      <w:r w:rsidRPr="00FD4CC9">
        <w:rPr>
          <w:lang w:val="ru-RU"/>
        </w:rPr>
        <w:tab/>
        <w:t xml:space="preserve">Комитет отмечает ограниченное количество доступной информации и данных касательно других женщин, находящихся в неблагоприятном положении, а именно женщин старшего возраста и женщин с ограниченными возможностями.  Комитет обеспокоен маргинализацией этих женщин и их уязвимостью перед пересекающимися формами дискриминации.  Комитет особенно обеспокоен ситуацией женщин с ограниченными возможностями в стационарных учреждениях, где они подвергаются высокому риску плохого обращения, в том числе сексуального насилия. Комитет также обеспокоен тем, что подобные действия зачастую не сообщаются и насильники редко предстают перед судом.  В заключение, Комитет обеспокоен дискриминационной системой опеки в отношении женщин с умственными и психосоциальными отклонениями, позволяющая устранить их правоспособность.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38.</w:t>
      </w:r>
      <w:r w:rsidRPr="00FD4CC9">
        <w:rPr>
          <w:b/>
          <w:lang w:val="ru-RU"/>
        </w:rPr>
        <w:tab/>
        <w:t xml:space="preserve">Комитет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>а:</w:t>
      </w:r>
      <w:r w:rsidRPr="00FD4CC9">
        <w:rPr>
          <w:b/>
          <w:lang w:val="ru-RU"/>
        </w:rPr>
        <w:tab/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(a)</w:t>
      </w:r>
      <w:r w:rsidRPr="00FD4CC9">
        <w:rPr>
          <w:b/>
          <w:lang w:val="ru-RU"/>
        </w:rPr>
        <w:tab/>
        <w:t>Сбор всеобъемлющих статистических данных в своей следующей переписи, дифференцированных по половому и возрастному признакам касательно ситуации женщин, находящихся в неблагоприятном положении, в том числе женщин народности рома, женщин с ограниченными возможностями, женщин из сельской местности и женщин старшего возраста, во всех сферах, охватываемых Конвенцией;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(b)</w:t>
      </w:r>
      <w:r w:rsidRPr="00FD4CC9">
        <w:rPr>
          <w:b/>
          <w:lang w:val="ru-RU"/>
        </w:rPr>
        <w:tab/>
        <w:t xml:space="preserve">Предпринять эффективные меры, в том числе временные специальные меры, с целью ускорения реализации существенного равенства для женщин, находящихся в неблагоприятном положении; 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(c)</w:t>
      </w:r>
      <w:r w:rsidRPr="00FD4CC9">
        <w:rPr>
          <w:b/>
          <w:lang w:val="ru-RU"/>
        </w:rPr>
        <w:tab/>
        <w:t>Распространять и обеспечивать внедрение Закона о социальной интеграции лиц с ограниченными возможностями 2012 года, в том числе посредством создания механизмов для увеличения квот в сфере трудоустройства лиц, с ограниченными возможностями;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>(d)</w:t>
      </w:r>
      <w:r w:rsidRPr="00FD4CC9">
        <w:rPr>
          <w:b/>
          <w:lang w:val="ru-RU"/>
        </w:rPr>
        <w:tab/>
        <w:t>Эффективно расследовать все случаи сексуального насилия в отношении женщин с ограниченными возможностями в стационарных учреждениях; облегчать таким женщинам доступ к качественной медицинской помощи; а также убедиться в том, что каждый вид медицинского вмешательства основан на информированном согласии; и,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b/>
          <w:lang w:val="ru-RU"/>
        </w:rPr>
        <w:t xml:space="preserve">(e) </w:t>
      </w:r>
      <w:r w:rsidRPr="00FD4CC9">
        <w:rPr>
          <w:b/>
          <w:lang w:val="ru-RU"/>
        </w:rPr>
        <w:tab/>
        <w:t xml:space="preserve">Реформировать систему опеки таким образом, чтобы привести ее в соответствие со статьей 12 Конвенции о правах инвалидов. 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Брак и семейные отношения</w:t>
      </w:r>
    </w:p>
    <w:p w:rsidR="00FE1F40" w:rsidRPr="00FD4CC9" w:rsidRDefault="00FE1F40" w:rsidP="001F6DCD">
      <w:pPr>
        <w:pStyle w:val="SingleTxtG"/>
        <w:ind w:left="0" w:right="-81"/>
        <w:rPr>
          <w:lang w:val="ru-RU"/>
        </w:rPr>
      </w:pPr>
      <w:r w:rsidRPr="00FD4CC9">
        <w:rPr>
          <w:lang w:val="ru-RU"/>
        </w:rPr>
        <w:t>39.</w:t>
      </w:r>
      <w:r w:rsidRPr="00FD4CC9">
        <w:rPr>
          <w:lang w:val="ru-RU"/>
        </w:rPr>
        <w:tab/>
        <w:t xml:space="preserve">Комитет обеспокоен сообщениями о детских браках в некоторых поселениях ромов и отсутствием систематических действий, предпринимаемых </w:t>
      </w:r>
      <w:r>
        <w:rPr>
          <w:lang w:val="ru-RU"/>
        </w:rPr>
        <w:t>г</w:t>
      </w:r>
      <w:r w:rsidRPr="00FD4CC9">
        <w:rPr>
          <w:lang w:val="ru-RU"/>
        </w:rPr>
        <w:t>осударством-участником для устранения этой вредной практики, несмотря на законодательный запрет ранних браков.</w:t>
      </w:r>
      <w:r w:rsidRPr="00FD4CC9">
        <w:rPr>
          <w:rStyle w:val="FootnoteReference"/>
          <w:lang w:val="ru-RU"/>
        </w:rPr>
        <w:t xml:space="preserve"> </w:t>
      </w:r>
      <w:r w:rsidRPr="00FD4CC9">
        <w:rPr>
          <w:lang w:val="ru-RU"/>
        </w:rPr>
        <w:t xml:space="preserve"> Комитет также обеспокоен полученной информацией о том, что вследствие развода или смерти мужа женщины, на практике, зачастую лишаются своих прав на наследство.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Cs/>
          <w:lang w:val="ru-RU"/>
        </w:rPr>
        <w:t>40.</w:t>
      </w:r>
      <w:r w:rsidRPr="00FD4CC9">
        <w:rPr>
          <w:b/>
          <w:bCs/>
          <w:lang w:val="ru-RU"/>
        </w:rPr>
        <w:tab/>
        <w:t xml:space="preserve">Комитет рекомендует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 xml:space="preserve"> убедиться в том, что институты социального обеспечения и другие государственные учреждения принимают меры по борьбе с практикой брака несовершеннолетних и эффективно внедряют закон, запрещающий ранние браки.  Комитет, также рекомендует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 xml:space="preserve">, в сотрудничестве с лидерами сообщества, повысить осведомленность среди населения ромов о правовом запрете брака несовершеннолетних, а также касательно отрицательного эффекта подобной практики на здоровье и образования девочек. </w:t>
      </w:r>
      <w:r w:rsidRPr="00FD4CC9">
        <w:rPr>
          <w:lang w:val="ru-RU"/>
        </w:rPr>
        <w:t xml:space="preserve"> </w:t>
      </w:r>
      <w:r w:rsidRPr="00FD4CC9">
        <w:rPr>
          <w:b/>
          <w:bCs/>
          <w:lang w:val="ru-RU"/>
        </w:rPr>
        <w:t xml:space="preserve">Комитет настоятельно призывает </w:t>
      </w:r>
      <w:r>
        <w:rPr>
          <w:b/>
          <w:bCs/>
          <w:lang w:val="ru-RU"/>
        </w:rPr>
        <w:t>Государство-участник</w:t>
      </w:r>
      <w:r w:rsidRPr="00FD4CC9">
        <w:rPr>
          <w:b/>
          <w:bCs/>
          <w:lang w:val="ru-RU"/>
        </w:rPr>
        <w:t>а о</w:t>
      </w:r>
      <w:r>
        <w:rPr>
          <w:b/>
          <w:bCs/>
          <w:lang w:val="ru-RU"/>
        </w:rPr>
        <w:t xml:space="preserve">беспечить </w:t>
      </w:r>
      <w:r w:rsidRPr="00D6781D">
        <w:rPr>
          <w:b/>
          <w:bCs/>
          <w:lang w:val="ru-RU"/>
        </w:rPr>
        <w:t xml:space="preserve">полное осуществление положений о наследовании / правопреемства </w:t>
      </w:r>
      <w:r>
        <w:rPr>
          <w:b/>
          <w:bCs/>
          <w:lang w:val="ru-RU"/>
        </w:rPr>
        <w:t>содержащихся</w:t>
      </w:r>
      <w:r w:rsidRPr="00BA23F0">
        <w:rPr>
          <w:b/>
          <w:bCs/>
          <w:lang w:val="ru-RU"/>
        </w:rPr>
        <w:t xml:space="preserve"> в Гражданском кодексе</w:t>
      </w:r>
      <w:r w:rsidRPr="00FD4CC9">
        <w:rPr>
          <w:b/>
          <w:bCs/>
          <w:lang w:val="ru-RU"/>
        </w:rPr>
        <w:t xml:space="preserve"> и ликвидировать пробел между законодательством и практикой, в соответствии с пунктами 51-53 общей рекомендации Комитета № 29 касательно экономических последствий брака, семейных отношений и их расторжения (2013 года).</w:t>
      </w:r>
      <w:bookmarkStart w:id="0" w:name="_GoBack"/>
      <w:bookmarkEnd w:id="0"/>
    </w:p>
    <w:p w:rsidR="00FE1F40" w:rsidRPr="00FD4CC9" w:rsidRDefault="00FE1F40" w:rsidP="001F6DCD">
      <w:pPr>
        <w:pStyle w:val="H23G"/>
        <w:ind w:left="0" w:right="-81" w:firstLine="0"/>
        <w:rPr>
          <w:rFonts w:eastAsia="SimSun"/>
          <w:lang w:val="ru-RU"/>
        </w:rPr>
      </w:pPr>
      <w:r w:rsidRPr="00FD4CC9">
        <w:rPr>
          <w:rFonts w:eastAsia="SimSun"/>
          <w:lang w:val="ru-RU"/>
        </w:rPr>
        <w:tab/>
      </w:r>
      <w:r w:rsidRPr="00FD4CC9">
        <w:rPr>
          <w:rFonts w:eastAsia="SimSun"/>
          <w:lang w:val="ru-RU"/>
        </w:rPr>
        <w:tab/>
        <w:t>Пекинская декларация и Платформа действий</w:t>
      </w:r>
    </w:p>
    <w:p w:rsidR="00FE1F40" w:rsidRPr="00FD4CC9" w:rsidRDefault="00FE1F40" w:rsidP="001F6DCD">
      <w:pPr>
        <w:pStyle w:val="SingleTxtG"/>
        <w:ind w:left="0" w:right="-81"/>
        <w:rPr>
          <w:rFonts w:eastAsia="SimSun"/>
          <w:b/>
          <w:lang w:val="ru-RU" w:eastAsia="zh-CN"/>
        </w:rPr>
      </w:pPr>
      <w:r w:rsidRPr="00FD4CC9">
        <w:rPr>
          <w:lang w:val="ru-RU"/>
        </w:rPr>
        <w:t>41.</w:t>
      </w:r>
      <w:r w:rsidRPr="00FD4CC9">
        <w:rPr>
          <w:lang w:val="ru-RU"/>
        </w:rPr>
        <w:tab/>
      </w:r>
      <w:r w:rsidRPr="00FD4CC9">
        <w:rPr>
          <w:b/>
          <w:lang w:val="ru-RU"/>
        </w:rPr>
        <w:t xml:space="preserve">Комитет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>а использовать Пекинскую декларацию и Платформу действий в своих усилиях по выполнению положений Конвенции</w:t>
      </w:r>
      <w:r w:rsidRPr="00FD4CC9">
        <w:rPr>
          <w:rFonts w:eastAsia="SimSun"/>
          <w:b/>
          <w:lang w:val="ru-RU" w:eastAsia="zh-CN"/>
        </w:rPr>
        <w:t>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 xml:space="preserve">Цели развития тысячелетия и будущая </w:t>
      </w:r>
      <w:r w:rsidRPr="00FD4CC9">
        <w:rPr>
          <w:bCs/>
          <w:color w:val="000000"/>
          <w:lang w:val="ru-RU" w:eastAsia="zh-CN"/>
        </w:rPr>
        <w:t>концепция</w:t>
      </w:r>
    </w:p>
    <w:p w:rsidR="00FE1F40" w:rsidRPr="00FD4CC9" w:rsidRDefault="00FE1F40" w:rsidP="001F6DCD">
      <w:pPr>
        <w:suppressAutoHyphens w:val="0"/>
        <w:autoSpaceDE w:val="0"/>
        <w:autoSpaceDN w:val="0"/>
        <w:adjustRightInd w:val="0"/>
        <w:ind w:right="-81"/>
        <w:jc w:val="both"/>
        <w:rPr>
          <w:rFonts w:eastAsia="SimSun"/>
          <w:b/>
          <w:bCs/>
          <w:lang w:val="ru-RU" w:eastAsia="zh-CN"/>
        </w:rPr>
      </w:pPr>
      <w:r w:rsidRPr="00FD4CC9">
        <w:rPr>
          <w:color w:val="000000"/>
          <w:lang w:val="ru-RU" w:eastAsia="zh-CN"/>
        </w:rPr>
        <w:t>42.</w:t>
      </w:r>
      <w:r w:rsidRPr="00FD4CC9">
        <w:rPr>
          <w:color w:val="000000"/>
          <w:lang w:val="ru-RU" w:eastAsia="zh-CN"/>
        </w:rPr>
        <w:tab/>
      </w:r>
      <w:r w:rsidRPr="00FD4CC9">
        <w:rPr>
          <w:b/>
          <w:bCs/>
          <w:color w:val="000000"/>
          <w:lang w:val="ru-RU" w:eastAsia="zh-CN"/>
        </w:rPr>
        <w:t xml:space="preserve">Комитет призывает к интеграции гендерных аспектов в соответствии с положениями Конвенции во всех усилиях, направленных на достижение </w:t>
      </w:r>
      <w:r w:rsidRPr="00FD4CC9">
        <w:rPr>
          <w:b/>
          <w:lang w:val="ru-RU"/>
        </w:rPr>
        <w:t xml:space="preserve">Целей развития тысячелетия, </w:t>
      </w:r>
      <w:r w:rsidRPr="00FD4CC9">
        <w:rPr>
          <w:b/>
          <w:bCs/>
          <w:color w:val="000000"/>
          <w:lang w:val="ru-RU" w:eastAsia="zh-CN"/>
        </w:rPr>
        <w:t>а также в новую концепцию развития по состоянию на 2015 год.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Распространение и внедрение</w:t>
      </w:r>
    </w:p>
    <w:p w:rsidR="00FE1F40" w:rsidRPr="00FD4CC9" w:rsidRDefault="00FE1F40" w:rsidP="001F6DCD">
      <w:pPr>
        <w:suppressAutoHyphens w:val="0"/>
        <w:autoSpaceDE w:val="0"/>
        <w:autoSpaceDN w:val="0"/>
        <w:adjustRightInd w:val="0"/>
        <w:ind w:right="-81"/>
        <w:jc w:val="both"/>
        <w:rPr>
          <w:rFonts w:eastAsia="SimSun"/>
          <w:b/>
          <w:bCs/>
          <w:lang w:val="ru-RU" w:eastAsia="zh-CN"/>
        </w:rPr>
      </w:pPr>
      <w:r w:rsidRPr="00FD4CC9">
        <w:rPr>
          <w:bCs/>
          <w:lang w:val="ru-RU"/>
        </w:rPr>
        <w:t>43.</w:t>
      </w:r>
      <w:r w:rsidRPr="00FD4CC9">
        <w:rPr>
          <w:b/>
          <w:bCs/>
          <w:lang w:val="ru-RU"/>
        </w:rPr>
        <w:tab/>
        <w:t xml:space="preserve">Комитет напоминает об обязательстве </w:t>
      </w:r>
      <w:r>
        <w:rPr>
          <w:b/>
          <w:bCs/>
          <w:lang w:val="ru-RU"/>
        </w:rPr>
        <w:t>государства-участника</w:t>
      </w:r>
      <w:r w:rsidRPr="00FD4CC9">
        <w:rPr>
          <w:b/>
          <w:bCs/>
          <w:lang w:val="ru-RU"/>
        </w:rPr>
        <w:t xml:space="preserve"> систематически и последовательно внедрять положения Конвенции о ликвидации всех форм дискриминации в отношении женщин.  Также, Комитет настоятельно призывает </w:t>
      </w:r>
      <w:r>
        <w:rPr>
          <w:b/>
          <w:bCs/>
          <w:lang w:val="ru-RU"/>
        </w:rPr>
        <w:t>государство-участник</w:t>
      </w:r>
      <w:r w:rsidRPr="00FD4CC9">
        <w:rPr>
          <w:b/>
          <w:bCs/>
          <w:lang w:val="ru-RU"/>
        </w:rPr>
        <w:t xml:space="preserve">а уделять приоритетное внимание выполнению настоящих заключительных замечаний и рекомендаций в период до представления следующего периодического доклада.  Комитет, таким образом, обращается с просьбой своевременной передачи заключительных замечаний, на официальном языке </w:t>
      </w:r>
      <w:r>
        <w:rPr>
          <w:b/>
          <w:bCs/>
          <w:lang w:val="ru-RU"/>
        </w:rPr>
        <w:t>государства-участника</w:t>
      </w:r>
      <w:r w:rsidRPr="00FD4CC9">
        <w:rPr>
          <w:b/>
          <w:bCs/>
          <w:lang w:val="ru-RU"/>
        </w:rPr>
        <w:t xml:space="preserve">, соответствующим государственным институтам на всех уровнях, в частности Правительству, министерствам, Парламенту, а также судебным органам для возможности их полного внедрения.  Комитет поддерживает </w:t>
      </w:r>
      <w:r>
        <w:rPr>
          <w:b/>
          <w:bCs/>
          <w:lang w:val="ru-RU"/>
        </w:rPr>
        <w:t>государство-участник</w:t>
      </w:r>
      <w:r w:rsidRPr="00FD4CC9">
        <w:rPr>
          <w:b/>
          <w:bCs/>
          <w:lang w:val="ru-RU"/>
        </w:rPr>
        <w:t xml:space="preserve">а в сотрудничестве со всеми заинтересованными сторонами, такими как объединения работодателей, профсоюзы, правозащитные и женские организации, университеты и исследовательские институты, средства массовой информации и т.п.  Также рекомендует, чтобы его заключительные замечания распространялись в подходящей форме на местном уровне для возможности из внедрения.  К тому же, Комитет обращается с просьбой к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 xml:space="preserve"> продолжать распространять Конвенцию, ее Факультативный протокол и судебную практику, а также общие рекомендации Комитета всем заинтересованным сторонам</w:t>
      </w:r>
      <w:r w:rsidRPr="00FD4CC9">
        <w:rPr>
          <w:rFonts w:eastAsia="SimSun"/>
          <w:b/>
          <w:bCs/>
          <w:lang w:val="ru-RU" w:eastAsia="zh-CN"/>
        </w:rPr>
        <w:t>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Ратификация соглашений</w:t>
      </w:r>
    </w:p>
    <w:p w:rsidR="00FE1F40" w:rsidRPr="00FD4CC9" w:rsidRDefault="00FE1F40" w:rsidP="001F6DCD">
      <w:pPr>
        <w:pStyle w:val="SingleTxtG"/>
        <w:ind w:left="0" w:right="-81"/>
        <w:rPr>
          <w:b/>
          <w:lang w:val="ru-RU"/>
        </w:rPr>
      </w:pPr>
      <w:r w:rsidRPr="00FD4CC9">
        <w:rPr>
          <w:lang w:val="ru-RU"/>
        </w:rPr>
        <w:t>44.</w:t>
      </w:r>
      <w:r w:rsidRPr="00FD4CC9">
        <w:rPr>
          <w:lang w:val="ru-RU"/>
        </w:rPr>
        <w:tab/>
      </w:r>
      <w:r w:rsidRPr="00FD4CC9">
        <w:rPr>
          <w:b/>
          <w:lang w:val="ru-RU"/>
        </w:rPr>
        <w:t xml:space="preserve">Комитет отмечает, что присоединение </w:t>
      </w:r>
      <w:r>
        <w:rPr>
          <w:b/>
          <w:lang w:val="ru-RU"/>
        </w:rPr>
        <w:t>государства-участника</w:t>
      </w:r>
      <w:r w:rsidRPr="00FD4CC9">
        <w:rPr>
          <w:b/>
          <w:lang w:val="ru-RU"/>
        </w:rPr>
        <w:t xml:space="preserve"> к девяти основным международным документам по правам человека</w:t>
      </w:r>
      <w:r w:rsidRPr="00FD4CC9">
        <w:rPr>
          <w:b/>
          <w:vertAlign w:val="superscript"/>
          <w:lang w:val="ru-RU"/>
        </w:rPr>
        <w:footnoteReference w:id="3"/>
      </w:r>
      <w:r w:rsidRPr="00FD4CC9">
        <w:rPr>
          <w:b/>
          <w:lang w:val="ru-RU"/>
        </w:rPr>
        <w:t xml:space="preserve"> повысит среди женщин уровень пользования своими правами человека и основными свободами во всех аспектах жизни.  Комитет, таким образом, призывает </w:t>
      </w:r>
      <w:r>
        <w:rPr>
          <w:b/>
          <w:lang w:val="ru-RU"/>
        </w:rPr>
        <w:t>государство-участник</w:t>
      </w:r>
      <w:r w:rsidRPr="00FD4CC9">
        <w:rPr>
          <w:b/>
          <w:lang w:val="ru-RU"/>
        </w:rPr>
        <w:t xml:space="preserve">а рассмотреть ратификацию соглашений, стороной которых оно еще не является, например, Международная конвенция о защите прав всех трудящихся-мигрантов и членов их семей и Международная конвенция для защиты всех лиц от насильственных исчезновений. 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>Последующая деятельность по итогам заключительных замечаний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Cs/>
          <w:lang w:val="ru-RU"/>
        </w:rPr>
        <w:t>45.</w:t>
      </w:r>
      <w:r w:rsidRPr="00FD4CC9">
        <w:rPr>
          <w:b/>
          <w:bCs/>
          <w:lang w:val="ru-RU"/>
        </w:rPr>
        <w:tab/>
        <w:t xml:space="preserve">Комитет обращается с просьбой к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 xml:space="preserve"> предоставить, в течение двух лет, письменную информацию о мерах, принятых для выполнения рекомендаций, содержащихся в приведенных выше пунктах 20(a, b, c и d) и 28(b).</w:t>
      </w:r>
    </w:p>
    <w:p w:rsidR="00FE1F40" w:rsidRPr="00FD4CC9" w:rsidRDefault="00FE1F40" w:rsidP="001F6DCD">
      <w:pPr>
        <w:pStyle w:val="H23G"/>
        <w:ind w:left="0" w:right="-81" w:firstLine="0"/>
        <w:rPr>
          <w:lang w:val="ru-RU"/>
        </w:rPr>
      </w:pPr>
      <w:r w:rsidRPr="00FD4CC9">
        <w:rPr>
          <w:lang w:val="ru-RU"/>
        </w:rPr>
        <w:tab/>
      </w:r>
      <w:r w:rsidRPr="00FD4CC9">
        <w:rPr>
          <w:lang w:val="ru-RU"/>
        </w:rPr>
        <w:tab/>
        <w:t xml:space="preserve">Подготовка следующего доклада </w:t>
      </w:r>
    </w:p>
    <w:p w:rsidR="00FE1F40" w:rsidRPr="00FD4CC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Cs/>
          <w:lang w:val="ru-RU"/>
        </w:rPr>
        <w:t>46.</w:t>
      </w:r>
      <w:r w:rsidRPr="00FD4CC9">
        <w:rPr>
          <w:b/>
          <w:bCs/>
          <w:lang w:val="ru-RU"/>
        </w:rPr>
        <w:tab/>
        <w:t xml:space="preserve">Комитет предлагает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 xml:space="preserve"> представить свой шестой периодический доклад к октябрю 2017 года.</w:t>
      </w:r>
    </w:p>
    <w:p w:rsidR="00FE1F40" w:rsidRPr="007E1E39" w:rsidRDefault="00FE1F40" w:rsidP="001F6DCD">
      <w:pPr>
        <w:pStyle w:val="SingleTxtG"/>
        <w:ind w:left="0" w:right="-81"/>
        <w:rPr>
          <w:b/>
          <w:bCs/>
          <w:lang w:val="ru-RU"/>
        </w:rPr>
      </w:pPr>
      <w:r w:rsidRPr="00FD4CC9">
        <w:rPr>
          <w:bCs/>
          <w:lang w:val="ru-RU"/>
        </w:rPr>
        <w:t>47.</w:t>
      </w:r>
      <w:r w:rsidRPr="00FD4CC9">
        <w:rPr>
          <w:b/>
          <w:bCs/>
          <w:lang w:val="ru-RU"/>
        </w:rPr>
        <w:tab/>
        <w:t xml:space="preserve">Комитет обращается с просьбой к </w:t>
      </w:r>
      <w:r>
        <w:rPr>
          <w:b/>
          <w:bCs/>
          <w:lang w:val="ru-RU"/>
        </w:rPr>
        <w:t>Государству-участнику</w:t>
      </w:r>
      <w:r w:rsidRPr="00FD4CC9">
        <w:rPr>
          <w:b/>
          <w:bCs/>
          <w:lang w:val="ru-RU"/>
        </w:rPr>
        <w:t xml:space="preserve"> следовать согласованные руководящие принципы представления докладов в соответствии с международными договорами по правам человека, в том числе руководящими принципами подготовки общего базового документа и документов по конкретным договорам (</w:t>
      </w:r>
      <w:r w:rsidRPr="00FD4CC9">
        <w:rPr>
          <w:b/>
          <w:lang w:val="ru-RU"/>
        </w:rPr>
        <w:t xml:space="preserve">HRI/GEN/2/Rev.6, разд. </w:t>
      </w:r>
      <w:r>
        <w:rPr>
          <w:b/>
        </w:rPr>
        <w:t>I</w:t>
      </w:r>
      <w:r w:rsidRPr="007E1E39">
        <w:rPr>
          <w:b/>
          <w:bCs/>
          <w:lang w:val="ru-RU"/>
        </w:rPr>
        <w:t>).</w:t>
      </w:r>
    </w:p>
    <w:p w:rsidR="00FE1F40" w:rsidRPr="007E1E39" w:rsidRDefault="00FE1F40" w:rsidP="005B41F6">
      <w:pPr>
        <w:pStyle w:val="SingleTxtG"/>
        <w:spacing w:before="240" w:after="0"/>
        <w:jc w:val="center"/>
        <w:rPr>
          <w:b/>
          <w:bCs/>
          <w:u w:val="single"/>
          <w:lang w:val="ru-RU"/>
        </w:rPr>
      </w:pPr>
      <w:r w:rsidRPr="007E1E39">
        <w:rPr>
          <w:bCs/>
          <w:u w:val="single"/>
          <w:lang w:val="ru-RU"/>
        </w:rPr>
        <w:tab/>
      </w:r>
      <w:r w:rsidRPr="007E1E39">
        <w:rPr>
          <w:bCs/>
          <w:u w:val="single"/>
          <w:lang w:val="ru-RU"/>
        </w:rPr>
        <w:tab/>
      </w:r>
      <w:r w:rsidRPr="007E1E39">
        <w:rPr>
          <w:bCs/>
          <w:u w:val="single"/>
          <w:lang w:val="ru-RU"/>
        </w:rPr>
        <w:tab/>
      </w:r>
    </w:p>
    <w:p w:rsidR="00FE1F40" w:rsidRPr="007E1E39" w:rsidRDefault="00FE1F40">
      <w:pPr>
        <w:rPr>
          <w:lang w:val="ru-RU"/>
        </w:rPr>
      </w:pPr>
    </w:p>
    <w:sectPr w:rsidR="00FE1F40" w:rsidRPr="007E1E39" w:rsidSect="0063648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701" w:right="1134" w:bottom="1079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F40" w:rsidRDefault="00FE1F40" w:rsidP="005B41F6">
      <w:pPr>
        <w:spacing w:line="240" w:lineRule="auto"/>
      </w:pPr>
      <w:r>
        <w:separator/>
      </w:r>
    </w:p>
  </w:endnote>
  <w:endnote w:type="continuationSeparator" w:id="0">
    <w:p w:rsidR="00FE1F40" w:rsidRDefault="00FE1F40" w:rsidP="005B4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40" w:rsidRDefault="00FE1F40">
    <w:pPr>
      <w:pStyle w:val="Footer"/>
      <w:jc w:val="right"/>
    </w:pPr>
    <w:fldSimple w:instr=" PAGE   \* MERGEFORMAT ">
      <w:r>
        <w:rPr>
          <w:noProof/>
        </w:rPr>
        <w:t>10</w:t>
      </w:r>
    </w:fldSimple>
  </w:p>
  <w:p w:rsidR="00FE1F40" w:rsidRPr="00297FC3" w:rsidRDefault="00FE1F40" w:rsidP="00580BB7">
    <w:pPr>
      <w:pStyle w:val="Footer"/>
      <w:tabs>
        <w:tab w:val="right" w:pos="963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40" w:rsidRPr="00297FC3" w:rsidRDefault="00FE1F40" w:rsidP="00580BB7">
    <w:pPr>
      <w:pStyle w:val="Footer"/>
      <w:tabs>
        <w:tab w:val="right" w:pos="9638"/>
      </w:tabs>
      <w:rPr>
        <w:b/>
        <w:sz w:val="18"/>
      </w:rPr>
    </w:pPr>
    <w:r>
      <w:tab/>
    </w:r>
    <w:r w:rsidRPr="00297FC3">
      <w:rPr>
        <w:b/>
        <w:sz w:val="18"/>
      </w:rPr>
      <w:fldChar w:fldCharType="begin"/>
    </w:r>
    <w:r w:rsidRPr="00297FC3">
      <w:rPr>
        <w:b/>
        <w:sz w:val="18"/>
      </w:rPr>
      <w:instrText xml:space="preserve"> PAGE  \* MERGEFORMAT </w:instrText>
    </w:r>
    <w:r w:rsidRPr="00297FC3">
      <w:rPr>
        <w:b/>
        <w:sz w:val="18"/>
      </w:rPr>
      <w:fldChar w:fldCharType="separate"/>
    </w:r>
    <w:r>
      <w:rPr>
        <w:b/>
        <w:noProof/>
        <w:sz w:val="18"/>
      </w:rPr>
      <w:t>11</w:t>
    </w:r>
    <w:r w:rsidRPr="00297FC3">
      <w:rPr>
        <w:b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40" w:rsidRPr="00297FC3" w:rsidRDefault="00FE1F40" w:rsidP="00580BB7">
    <w:pPr>
      <w:pStyle w:val="Footer"/>
      <w:rPr>
        <w:sz w:val="20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recycle_English" style="position:absolute;margin-left:405.4pt;margin-top:-8.55pt;width:73.25pt;height:18.15pt;z-index:251660288;visibility:visible">
          <v:imagedata r:id="rId1" o:title="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F40" w:rsidRDefault="00FE1F40" w:rsidP="005B41F6">
      <w:pPr>
        <w:spacing w:line="240" w:lineRule="auto"/>
      </w:pPr>
      <w:r>
        <w:separator/>
      </w:r>
    </w:p>
  </w:footnote>
  <w:footnote w:type="continuationSeparator" w:id="0">
    <w:p w:rsidR="00FE1F40" w:rsidRDefault="00FE1F40" w:rsidP="005B41F6">
      <w:pPr>
        <w:spacing w:line="240" w:lineRule="auto"/>
      </w:pPr>
      <w:r>
        <w:continuationSeparator/>
      </w:r>
    </w:p>
  </w:footnote>
  <w:footnote w:id="1">
    <w:p w:rsidR="00FE1F40" w:rsidRDefault="00FE1F40" w:rsidP="005B41F6">
      <w:pPr>
        <w:pStyle w:val="FootnoteText"/>
      </w:pPr>
      <w:r w:rsidRPr="00193625">
        <w:rPr>
          <w:rStyle w:val="FootnoteReference"/>
          <w:lang w:val="ru-RU"/>
        </w:rPr>
        <w:tab/>
      </w:r>
      <w:r w:rsidRPr="00193625">
        <w:rPr>
          <w:rStyle w:val="FootnoteReference"/>
          <w:sz w:val="20"/>
          <w:lang w:val="ru-RU"/>
        </w:rPr>
        <w:t>*</w:t>
      </w:r>
      <w:r w:rsidRPr="00193625">
        <w:rPr>
          <w:rStyle w:val="FootnoteReference"/>
          <w:sz w:val="20"/>
          <w:lang w:val="ru-RU"/>
        </w:rPr>
        <w:tab/>
      </w:r>
      <w:r>
        <w:rPr>
          <w:lang w:val="ru-RU"/>
        </w:rPr>
        <w:t>Приняты</w:t>
      </w:r>
      <w:r w:rsidRPr="00193625">
        <w:rPr>
          <w:lang w:val="ru-RU"/>
        </w:rPr>
        <w:t xml:space="preserve"> </w:t>
      </w:r>
      <w:r>
        <w:rPr>
          <w:lang w:val="ru-RU"/>
        </w:rPr>
        <w:t>Комитетом</w:t>
      </w:r>
      <w:r w:rsidRPr="00193625">
        <w:rPr>
          <w:lang w:val="ru-RU"/>
        </w:rPr>
        <w:t xml:space="preserve"> </w:t>
      </w:r>
      <w:r>
        <w:rPr>
          <w:lang w:val="ru-RU"/>
        </w:rPr>
        <w:t>на</w:t>
      </w:r>
      <w:r w:rsidRPr="00193625">
        <w:rPr>
          <w:lang w:val="ru-RU"/>
        </w:rPr>
        <w:t xml:space="preserve"> </w:t>
      </w:r>
      <w:r>
        <w:rPr>
          <w:lang w:val="ru-RU"/>
        </w:rPr>
        <w:t>пятьдесят шестой</w:t>
      </w:r>
      <w:r w:rsidRPr="00193625">
        <w:rPr>
          <w:lang w:val="ru-RU"/>
        </w:rPr>
        <w:t xml:space="preserve"> </w:t>
      </w:r>
      <w:r>
        <w:rPr>
          <w:lang w:val="ru-RU"/>
        </w:rPr>
        <w:t>сессии</w:t>
      </w:r>
      <w:r w:rsidRPr="00193625">
        <w:rPr>
          <w:lang w:val="ru-RU"/>
        </w:rPr>
        <w:t xml:space="preserve"> (</w:t>
      </w:r>
      <w:r>
        <w:rPr>
          <w:lang w:val="ru-RU"/>
        </w:rPr>
        <w:t xml:space="preserve">с </w:t>
      </w:r>
      <w:r w:rsidRPr="00193625">
        <w:rPr>
          <w:lang w:val="ru-RU"/>
        </w:rPr>
        <w:t>30</w:t>
      </w:r>
      <w:r>
        <w:rPr>
          <w:lang w:val="ru-RU"/>
        </w:rPr>
        <w:t xml:space="preserve"> сентября по 18 октября </w:t>
      </w:r>
      <w:r w:rsidRPr="00193625">
        <w:rPr>
          <w:lang w:val="ru-RU"/>
        </w:rPr>
        <w:t>2013</w:t>
      </w:r>
      <w:r>
        <w:rPr>
          <w:lang w:val="ru-RU"/>
        </w:rPr>
        <w:t> года</w:t>
      </w:r>
      <w:r w:rsidRPr="00193625">
        <w:rPr>
          <w:lang w:val="ru-RU"/>
        </w:rPr>
        <w:t>).</w:t>
      </w:r>
    </w:p>
  </w:footnote>
  <w:footnote w:id="2">
    <w:p w:rsidR="00FE1F40" w:rsidRDefault="00FE1F40" w:rsidP="005B41F6">
      <w:pPr>
        <w:pStyle w:val="FootnoteText"/>
        <w:widowControl w:val="0"/>
        <w:tabs>
          <w:tab w:val="clear" w:pos="1021"/>
          <w:tab w:val="right" w:pos="1020"/>
        </w:tabs>
      </w:pPr>
      <w:r w:rsidRPr="00193625">
        <w:rPr>
          <w:lang w:val="ru-RU"/>
        </w:rPr>
        <w:tab/>
      </w:r>
      <w:r>
        <w:rPr>
          <w:rStyle w:val="FootnoteReference"/>
        </w:rPr>
        <w:footnoteRef/>
      </w:r>
      <w:r w:rsidRPr="00C914B9">
        <w:rPr>
          <w:lang w:val="ru-RU"/>
        </w:rPr>
        <w:tab/>
        <w:t xml:space="preserve"> </w:t>
      </w:r>
      <w:r>
        <w:rPr>
          <w:lang w:val="ru-RU"/>
        </w:rPr>
        <w:t>Далее</w:t>
      </w:r>
      <w:r w:rsidRPr="00C914B9">
        <w:rPr>
          <w:lang w:val="ru-RU"/>
        </w:rPr>
        <w:t xml:space="preserve"> </w:t>
      </w:r>
      <w:r>
        <w:rPr>
          <w:lang w:val="ru-RU"/>
        </w:rPr>
        <w:t>«Приднестровье» или «Приднестровский регион»</w:t>
      </w:r>
      <w:r w:rsidRPr="00C914B9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C914B9">
        <w:rPr>
          <w:lang w:val="ru-RU"/>
        </w:rPr>
        <w:t>Ссылка на фактически</w:t>
      </w:r>
      <w:r>
        <w:rPr>
          <w:lang w:val="ru-RU"/>
        </w:rPr>
        <w:t>е</w:t>
      </w:r>
      <w:r w:rsidRPr="00C8318D">
        <w:rPr>
          <w:b/>
          <w:lang w:val="ru-RU"/>
        </w:rPr>
        <w:t xml:space="preserve"> </w:t>
      </w:r>
      <w:r w:rsidRPr="00C914B9">
        <w:rPr>
          <w:lang w:val="ru-RU"/>
        </w:rPr>
        <w:t>орган</w:t>
      </w:r>
      <w:r>
        <w:rPr>
          <w:lang w:val="ru-RU"/>
        </w:rPr>
        <w:t>ы</w:t>
      </w:r>
      <w:r w:rsidRPr="00C914B9">
        <w:rPr>
          <w:lang w:val="ru-RU"/>
        </w:rPr>
        <w:t xml:space="preserve"> власти</w:t>
      </w:r>
      <w:r w:rsidRPr="00C8318D">
        <w:rPr>
          <w:b/>
          <w:lang w:val="ru-RU"/>
        </w:rPr>
        <w:t xml:space="preserve"> </w:t>
      </w:r>
      <w:r w:rsidRPr="00C914B9">
        <w:rPr>
          <w:lang w:val="ru-RU"/>
        </w:rPr>
        <w:t xml:space="preserve">не </w:t>
      </w:r>
      <w:r>
        <w:rPr>
          <w:lang w:val="ru-RU"/>
        </w:rPr>
        <w:t>приравнивается к</w:t>
      </w:r>
      <w:r w:rsidRPr="00C914B9">
        <w:rPr>
          <w:lang w:val="ru-RU"/>
        </w:rPr>
        <w:t xml:space="preserve"> признанию Комитетом их легитимности, и не должно быть истолковано как при</w:t>
      </w:r>
      <w:r>
        <w:rPr>
          <w:lang w:val="ru-RU"/>
        </w:rPr>
        <w:t>суж</w:t>
      </w:r>
      <w:r w:rsidRPr="00C914B9">
        <w:rPr>
          <w:lang w:val="ru-RU"/>
        </w:rPr>
        <w:t>д</w:t>
      </w:r>
      <w:r>
        <w:rPr>
          <w:lang w:val="ru-RU"/>
        </w:rPr>
        <w:t>ение</w:t>
      </w:r>
      <w:r w:rsidRPr="00C914B9">
        <w:rPr>
          <w:lang w:val="ru-RU"/>
        </w:rPr>
        <w:t xml:space="preserve"> какого-либо признан</w:t>
      </w:r>
      <w:r>
        <w:rPr>
          <w:lang w:val="ru-RU"/>
        </w:rPr>
        <w:t>ного</w:t>
      </w:r>
      <w:r w:rsidRPr="00C914B9">
        <w:rPr>
          <w:lang w:val="ru-RU"/>
        </w:rPr>
        <w:t xml:space="preserve"> правового статуса спорной территории.</w:t>
      </w:r>
    </w:p>
  </w:footnote>
  <w:footnote w:id="3">
    <w:p w:rsidR="00FE1F40" w:rsidRDefault="00FE1F40" w:rsidP="005B41F6">
      <w:pPr>
        <w:pStyle w:val="FootnoteText"/>
        <w:widowControl w:val="0"/>
        <w:tabs>
          <w:tab w:val="clear" w:pos="1021"/>
          <w:tab w:val="right" w:pos="1020"/>
        </w:tabs>
      </w:pPr>
      <w:r w:rsidRPr="00C92B38">
        <w:rPr>
          <w:lang w:val="ru-RU"/>
        </w:rPr>
        <w:tab/>
      </w:r>
      <w:r>
        <w:rPr>
          <w:rStyle w:val="FootnoteReference"/>
        </w:rPr>
        <w:footnoteRef/>
      </w:r>
      <w:r w:rsidRPr="00C92B38">
        <w:rPr>
          <w:lang w:val="ru-RU"/>
        </w:rPr>
        <w:tab/>
        <w:t xml:space="preserve"> </w:t>
      </w:r>
      <w:r>
        <w:rPr>
          <w:sz w:val="16"/>
          <w:szCs w:val="16"/>
          <w:lang w:val="ru-RU"/>
        </w:rPr>
        <w:t>Международный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пакт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об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экономических</w:t>
      </w:r>
      <w:r w:rsidRPr="00C92B38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социальных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политических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правах</w:t>
      </w:r>
      <w:r w:rsidRPr="00C92B38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Международная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конвенция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ликвидации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всех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форм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расовой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дискриминации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отношении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женщин</w:t>
      </w:r>
      <w:r w:rsidRPr="00C92B38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Конвенция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ликвидации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всех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форм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дискриминации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отношении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женщин</w:t>
      </w:r>
      <w:r w:rsidRPr="00C92B38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Конвенция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против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пыток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других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жестоких</w:t>
      </w:r>
      <w:r w:rsidRPr="00C92B38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бесчеловечных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или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унижающих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достоинство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видов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обращения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наказания</w:t>
      </w:r>
      <w:r w:rsidRPr="00C92B38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Конвенция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правах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ребенка</w:t>
      </w:r>
      <w:r w:rsidRPr="00C92B38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Международная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конвенция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защите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прав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всех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трудящихся</w:t>
      </w:r>
      <w:r w:rsidRPr="00C92B38">
        <w:rPr>
          <w:sz w:val="16"/>
          <w:szCs w:val="16"/>
          <w:lang w:val="ru-RU"/>
        </w:rPr>
        <w:t>-</w:t>
      </w:r>
      <w:r>
        <w:rPr>
          <w:sz w:val="16"/>
          <w:szCs w:val="16"/>
          <w:lang w:val="ru-RU"/>
        </w:rPr>
        <w:t>мигрантов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членов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их</w:t>
      </w:r>
      <w:r w:rsidRPr="00C92B3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семей</w:t>
      </w:r>
      <w:r w:rsidRPr="00C92B38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Международная конвенция для защиты всех лиц от насильственных исчезновений</w:t>
      </w:r>
      <w:r w:rsidRPr="00C92B38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Конвенция о правах инвалидов</w:t>
      </w:r>
      <w:r w:rsidRPr="00C92B38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40" w:rsidRPr="00297FC3" w:rsidRDefault="00FE1F40">
    <w:pPr>
      <w:pStyle w:val="Header"/>
    </w:pPr>
    <w:r>
      <w:t>CEDAW/C/MDA/CO/4-5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40" w:rsidRPr="00297FC3" w:rsidRDefault="00FE1F40" w:rsidP="00580BB7">
    <w:pPr>
      <w:pStyle w:val="Header"/>
      <w:jc w:val="right"/>
    </w:pPr>
    <w:r>
      <w:t>CEDAW/C/MDA/CO/4-5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86B4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0644D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B97405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  <w:num w:numId="23">
    <w:abstractNumId w:val="11"/>
  </w:num>
  <w:num w:numId="24">
    <w:abstractNumId w:val="10"/>
  </w:num>
  <w:num w:numId="25">
    <w:abstractNumId w:val="16"/>
  </w:num>
  <w:num w:numId="26">
    <w:abstractNumId w:val="17"/>
  </w:num>
  <w:num w:numId="27">
    <w:abstractNumId w:val="14"/>
  </w:num>
  <w:num w:numId="28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1F6"/>
    <w:rsid w:val="00003041"/>
    <w:rsid w:val="00036082"/>
    <w:rsid w:val="00042A3B"/>
    <w:rsid w:val="00046D8E"/>
    <w:rsid w:val="00077582"/>
    <w:rsid w:val="00082AD4"/>
    <w:rsid w:val="000906A4"/>
    <w:rsid w:val="00095A39"/>
    <w:rsid w:val="000A2F7E"/>
    <w:rsid w:val="000A5213"/>
    <w:rsid w:val="000D2097"/>
    <w:rsid w:val="00135F12"/>
    <w:rsid w:val="0014051A"/>
    <w:rsid w:val="00157D05"/>
    <w:rsid w:val="00193625"/>
    <w:rsid w:val="001F13A4"/>
    <w:rsid w:val="001F6DCD"/>
    <w:rsid w:val="00212B1B"/>
    <w:rsid w:val="00244015"/>
    <w:rsid w:val="002469FC"/>
    <w:rsid w:val="002622D1"/>
    <w:rsid w:val="00262C57"/>
    <w:rsid w:val="002923C9"/>
    <w:rsid w:val="00297FC3"/>
    <w:rsid w:val="002D339E"/>
    <w:rsid w:val="002F4A30"/>
    <w:rsid w:val="00302F9C"/>
    <w:rsid w:val="00334005"/>
    <w:rsid w:val="0033666C"/>
    <w:rsid w:val="00337770"/>
    <w:rsid w:val="0035075C"/>
    <w:rsid w:val="00356E7F"/>
    <w:rsid w:val="00371D81"/>
    <w:rsid w:val="00385D8E"/>
    <w:rsid w:val="00396675"/>
    <w:rsid w:val="003A7F9B"/>
    <w:rsid w:val="003C267D"/>
    <w:rsid w:val="003F5195"/>
    <w:rsid w:val="003F6282"/>
    <w:rsid w:val="00420682"/>
    <w:rsid w:val="00443136"/>
    <w:rsid w:val="00450A1D"/>
    <w:rsid w:val="00480ECE"/>
    <w:rsid w:val="00482062"/>
    <w:rsid w:val="004844A6"/>
    <w:rsid w:val="004A031E"/>
    <w:rsid w:val="004A053D"/>
    <w:rsid w:val="004B7509"/>
    <w:rsid w:val="005109DC"/>
    <w:rsid w:val="005337B4"/>
    <w:rsid w:val="00545C9A"/>
    <w:rsid w:val="00580BB7"/>
    <w:rsid w:val="00592602"/>
    <w:rsid w:val="005B2711"/>
    <w:rsid w:val="005B41F6"/>
    <w:rsid w:val="005D2479"/>
    <w:rsid w:val="005D28CB"/>
    <w:rsid w:val="005D64AC"/>
    <w:rsid w:val="005E09D3"/>
    <w:rsid w:val="005F429A"/>
    <w:rsid w:val="005F4653"/>
    <w:rsid w:val="0061584F"/>
    <w:rsid w:val="00636484"/>
    <w:rsid w:val="00651C66"/>
    <w:rsid w:val="00663E68"/>
    <w:rsid w:val="0067232C"/>
    <w:rsid w:val="006B717D"/>
    <w:rsid w:val="006C0C0E"/>
    <w:rsid w:val="006D271E"/>
    <w:rsid w:val="00727C48"/>
    <w:rsid w:val="007636EA"/>
    <w:rsid w:val="00777420"/>
    <w:rsid w:val="0079642A"/>
    <w:rsid w:val="007A379C"/>
    <w:rsid w:val="007E1E39"/>
    <w:rsid w:val="007F5833"/>
    <w:rsid w:val="0081483D"/>
    <w:rsid w:val="008208B2"/>
    <w:rsid w:val="00842756"/>
    <w:rsid w:val="00846564"/>
    <w:rsid w:val="008566E0"/>
    <w:rsid w:val="008D1B3C"/>
    <w:rsid w:val="008D6505"/>
    <w:rsid w:val="008E2869"/>
    <w:rsid w:val="008E5352"/>
    <w:rsid w:val="0092069B"/>
    <w:rsid w:val="00963046"/>
    <w:rsid w:val="00964DFA"/>
    <w:rsid w:val="00974C84"/>
    <w:rsid w:val="00980AE0"/>
    <w:rsid w:val="009C2EBC"/>
    <w:rsid w:val="009D444D"/>
    <w:rsid w:val="00A3668E"/>
    <w:rsid w:val="00A37B17"/>
    <w:rsid w:val="00A76B97"/>
    <w:rsid w:val="00A806D2"/>
    <w:rsid w:val="00A8642A"/>
    <w:rsid w:val="00A8680A"/>
    <w:rsid w:val="00AA47B6"/>
    <w:rsid w:val="00AB2C4B"/>
    <w:rsid w:val="00AC2C01"/>
    <w:rsid w:val="00AC6497"/>
    <w:rsid w:val="00AC7F84"/>
    <w:rsid w:val="00AD1C95"/>
    <w:rsid w:val="00AD4429"/>
    <w:rsid w:val="00B06E00"/>
    <w:rsid w:val="00B23281"/>
    <w:rsid w:val="00B456C8"/>
    <w:rsid w:val="00B6020C"/>
    <w:rsid w:val="00B910BE"/>
    <w:rsid w:val="00B921E8"/>
    <w:rsid w:val="00BA20AC"/>
    <w:rsid w:val="00BA23F0"/>
    <w:rsid w:val="00BB1D4B"/>
    <w:rsid w:val="00BB3DA5"/>
    <w:rsid w:val="00BB58E8"/>
    <w:rsid w:val="00BC21B3"/>
    <w:rsid w:val="00BC43C1"/>
    <w:rsid w:val="00C22868"/>
    <w:rsid w:val="00C23CA7"/>
    <w:rsid w:val="00C25BBE"/>
    <w:rsid w:val="00C32081"/>
    <w:rsid w:val="00C6287A"/>
    <w:rsid w:val="00C66D73"/>
    <w:rsid w:val="00C8318D"/>
    <w:rsid w:val="00C84B78"/>
    <w:rsid w:val="00C914B9"/>
    <w:rsid w:val="00C92B38"/>
    <w:rsid w:val="00C96E06"/>
    <w:rsid w:val="00CC202C"/>
    <w:rsid w:val="00CE3AFB"/>
    <w:rsid w:val="00CE703A"/>
    <w:rsid w:val="00CF45E6"/>
    <w:rsid w:val="00D04B2E"/>
    <w:rsid w:val="00D36548"/>
    <w:rsid w:val="00D64B2A"/>
    <w:rsid w:val="00D6781D"/>
    <w:rsid w:val="00D706EF"/>
    <w:rsid w:val="00DB6E7F"/>
    <w:rsid w:val="00DF4D38"/>
    <w:rsid w:val="00E14FDA"/>
    <w:rsid w:val="00E16E70"/>
    <w:rsid w:val="00E32870"/>
    <w:rsid w:val="00E37CC4"/>
    <w:rsid w:val="00E53B56"/>
    <w:rsid w:val="00E80A47"/>
    <w:rsid w:val="00EB1ACA"/>
    <w:rsid w:val="00EC5FF7"/>
    <w:rsid w:val="00ED27EF"/>
    <w:rsid w:val="00EE316D"/>
    <w:rsid w:val="00F10F5C"/>
    <w:rsid w:val="00F1763D"/>
    <w:rsid w:val="00F322A3"/>
    <w:rsid w:val="00F84D64"/>
    <w:rsid w:val="00FB23E3"/>
    <w:rsid w:val="00FC4D9A"/>
    <w:rsid w:val="00FD4CC9"/>
    <w:rsid w:val="00FE1F40"/>
    <w:rsid w:val="00FF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uiPriority w:val="99"/>
    <w:qFormat/>
    <w:rsid w:val="005B41F6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5B41F6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B41F6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B41F6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5B41F6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B41F6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5B41F6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B41F6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B41F6"/>
    <w:pPr>
      <w:spacing w:line="240" w:lineRule="auto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basedOn w:val="DefaultParagraphFont"/>
    <w:link w:val="Heading1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customStyle="1" w:styleId="HMG">
    <w:name w:val="_ H __M_G"/>
    <w:basedOn w:val="Normal"/>
    <w:next w:val="Normal"/>
    <w:uiPriority w:val="99"/>
    <w:rsid w:val="005B41F6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uiPriority w:val="99"/>
    <w:rsid w:val="005B41F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SingleTxtG">
    <w:name w:val="_ Single Txt_G"/>
    <w:basedOn w:val="Normal"/>
    <w:link w:val="SingleTxtGChar"/>
    <w:uiPriority w:val="99"/>
    <w:rsid w:val="005B41F6"/>
    <w:pPr>
      <w:spacing w:after="120"/>
      <w:ind w:left="1134" w:right="1134"/>
      <w:jc w:val="both"/>
    </w:pPr>
    <w:rPr>
      <w:rFonts w:eastAsia="Calibri"/>
      <w:lang w:eastAsia="en-GB"/>
    </w:rPr>
  </w:style>
  <w:style w:type="character" w:styleId="PageNumber">
    <w:name w:val="page number"/>
    <w:aliases w:val="7_G"/>
    <w:basedOn w:val="DefaultParagraphFont"/>
    <w:uiPriority w:val="99"/>
    <w:rsid w:val="005B41F6"/>
    <w:rPr>
      <w:rFonts w:ascii="Times New Roman" w:hAnsi="Times New Roman" w:cs="Times New Roman"/>
      <w:b/>
      <w:sz w:val="18"/>
    </w:rPr>
  </w:style>
  <w:style w:type="paragraph" w:styleId="PlainText">
    <w:name w:val="Plain Text"/>
    <w:basedOn w:val="Normal"/>
    <w:link w:val="PlainTextChar"/>
    <w:uiPriority w:val="99"/>
    <w:semiHidden/>
    <w:rsid w:val="005B41F6"/>
    <w:rPr>
      <w:rFonts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B41F6"/>
    <w:rPr>
      <w:rFonts w:ascii="Times New Roman" w:hAnsi="Times New Roman" w:cs="Courier New"/>
      <w:sz w:val="20"/>
      <w:szCs w:val="20"/>
      <w:lang w:val="en-GB"/>
    </w:rPr>
  </w:style>
  <w:style w:type="paragraph" w:styleId="BodyText">
    <w:name w:val="Body Text"/>
    <w:basedOn w:val="Normal"/>
    <w:next w:val="Normal"/>
    <w:link w:val="BodyTextChar"/>
    <w:uiPriority w:val="99"/>
    <w:semiHidden/>
    <w:rsid w:val="005B41F6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5B41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BlockText">
    <w:name w:val="Block Text"/>
    <w:basedOn w:val="Normal"/>
    <w:uiPriority w:val="99"/>
    <w:semiHidden/>
    <w:rsid w:val="005B41F6"/>
    <w:pPr>
      <w:ind w:left="1440" w:right="1440"/>
    </w:pPr>
  </w:style>
  <w:style w:type="paragraph" w:customStyle="1" w:styleId="SMG">
    <w:name w:val="__S_M_G"/>
    <w:basedOn w:val="Normal"/>
    <w:next w:val="Normal"/>
    <w:uiPriority w:val="99"/>
    <w:rsid w:val="005B41F6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uiPriority w:val="99"/>
    <w:rsid w:val="005B41F6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uiPriority w:val="99"/>
    <w:rsid w:val="005B41F6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DefaultParagraphFont"/>
    <w:uiPriority w:val="99"/>
    <w:rsid w:val="005B41F6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uiPriority w:val="99"/>
    <w:rsid w:val="005B41F6"/>
    <w:rPr>
      <w:rFonts w:ascii="Times New Roman" w:hAnsi="Times New Roman" w:cs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uiPriority w:val="99"/>
    <w:rsid w:val="005B41F6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customStyle="1" w:styleId="XLargeG">
    <w:name w:val="__XLarge_G"/>
    <w:basedOn w:val="Normal"/>
    <w:next w:val="Normal"/>
    <w:uiPriority w:val="99"/>
    <w:rsid w:val="005B41F6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uiPriority w:val="99"/>
    <w:rsid w:val="005B41F6"/>
    <w:pPr>
      <w:numPr>
        <w:numId w:val="2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uiPriority w:val="99"/>
    <w:rsid w:val="005B41F6"/>
  </w:style>
  <w:style w:type="character" w:customStyle="1" w:styleId="EndnoteTextChar">
    <w:name w:val="Endnote Text Char"/>
    <w:aliases w:val="2_G Char"/>
    <w:basedOn w:val="DefaultParagraphFont"/>
    <w:link w:val="EndnoteText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5B41F6"/>
    <w:rPr>
      <w:rFonts w:cs="Times New Roman"/>
      <w:sz w:val="6"/>
    </w:rPr>
  </w:style>
  <w:style w:type="paragraph" w:styleId="CommentText">
    <w:name w:val="annotation text"/>
    <w:basedOn w:val="Normal"/>
    <w:link w:val="CommentTextChar"/>
    <w:uiPriority w:val="99"/>
    <w:semiHidden/>
    <w:rsid w:val="005B41F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rsid w:val="005B41F6"/>
    <w:rPr>
      <w:rFonts w:cs="Times New Roman"/>
      <w:sz w:val="14"/>
    </w:rPr>
  </w:style>
  <w:style w:type="paragraph" w:customStyle="1" w:styleId="Bullet2G">
    <w:name w:val="_Bullet 2_G"/>
    <w:basedOn w:val="Normal"/>
    <w:uiPriority w:val="99"/>
    <w:rsid w:val="005B41F6"/>
    <w:pPr>
      <w:numPr>
        <w:numId w:val="2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uiPriority w:val="99"/>
    <w:rsid w:val="005B41F6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uiPriority w:val="99"/>
    <w:rsid w:val="005B41F6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uiPriority w:val="99"/>
    <w:rsid w:val="005B41F6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uiPriority w:val="99"/>
    <w:rsid w:val="005B41F6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uiPriority w:val="99"/>
    <w:semiHidden/>
    <w:rsid w:val="005B4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5B41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B41F6"/>
    <w:rPr>
      <w:rFonts w:ascii="Times New Roma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B41F6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5B41F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B41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5B41F6"/>
  </w:style>
  <w:style w:type="paragraph" w:styleId="BodyTextIndent2">
    <w:name w:val="Body Text Indent 2"/>
    <w:basedOn w:val="Normal"/>
    <w:link w:val="BodyTextIndent2Char"/>
    <w:uiPriority w:val="99"/>
    <w:semiHidden/>
    <w:rsid w:val="005B41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5B41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B41F6"/>
    <w:rPr>
      <w:rFonts w:ascii="Times New Roman" w:hAnsi="Times New Roman" w:cs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rsid w:val="005B41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rsid w:val="005B41F6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5B41F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99"/>
    <w:qFormat/>
    <w:rsid w:val="005B41F6"/>
    <w:rPr>
      <w:rFonts w:cs="Times New Roman"/>
      <w:i/>
    </w:rPr>
  </w:style>
  <w:style w:type="paragraph" w:styleId="EnvelopeReturn">
    <w:name w:val="envelope return"/>
    <w:basedOn w:val="Normal"/>
    <w:uiPriority w:val="99"/>
    <w:semiHidden/>
    <w:rsid w:val="005B41F6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rsid w:val="005B41F6"/>
    <w:rPr>
      <w:rFonts w:cs="Times New Roman"/>
      <w:color w:val="auto"/>
      <w:u w:val="none"/>
    </w:rPr>
  </w:style>
  <w:style w:type="character" w:styleId="HTMLAcronym">
    <w:name w:val="HTML Acronym"/>
    <w:basedOn w:val="DefaultParagraphFont"/>
    <w:uiPriority w:val="99"/>
    <w:semiHidden/>
    <w:rsid w:val="005B41F6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5B41F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5B41F6"/>
    <w:rPr>
      <w:rFonts w:ascii="Times New Roman" w:hAnsi="Times New Roman" w:cs="Times New Roman"/>
      <w:i/>
      <w:iCs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rsid w:val="005B41F6"/>
    <w:rPr>
      <w:rFonts w:cs="Times New Roman"/>
      <w:i/>
    </w:rPr>
  </w:style>
  <w:style w:type="character" w:styleId="HTMLCode">
    <w:name w:val="HTML Code"/>
    <w:basedOn w:val="DefaultParagraphFont"/>
    <w:uiPriority w:val="99"/>
    <w:semiHidden/>
    <w:rsid w:val="005B41F6"/>
    <w:rPr>
      <w:rFonts w:ascii="Courier New" w:hAnsi="Courier New" w:cs="Times New Roman"/>
      <w:sz w:val="20"/>
    </w:rPr>
  </w:style>
  <w:style w:type="character" w:styleId="HTMLDefinition">
    <w:name w:val="HTML Definition"/>
    <w:basedOn w:val="DefaultParagraphFont"/>
    <w:uiPriority w:val="99"/>
    <w:semiHidden/>
    <w:rsid w:val="005B41F6"/>
    <w:rPr>
      <w:rFonts w:cs="Times New Roman"/>
      <w:i/>
    </w:rPr>
  </w:style>
  <w:style w:type="character" w:styleId="HTMLKeyboard">
    <w:name w:val="HTML Keyboard"/>
    <w:basedOn w:val="DefaultParagraphFont"/>
    <w:uiPriority w:val="99"/>
    <w:semiHidden/>
    <w:rsid w:val="005B41F6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B41F6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B41F6"/>
    <w:rPr>
      <w:rFonts w:ascii="Courier New" w:hAnsi="Courier New" w:cs="Courier New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5B41F6"/>
    <w:rPr>
      <w:rFonts w:ascii="Courier New" w:hAnsi="Courier New" w:cs="Times New Roman"/>
    </w:rPr>
  </w:style>
  <w:style w:type="character" w:styleId="HTMLTypewriter">
    <w:name w:val="HTML Typewriter"/>
    <w:basedOn w:val="DefaultParagraphFont"/>
    <w:uiPriority w:val="99"/>
    <w:semiHidden/>
    <w:rsid w:val="005B41F6"/>
    <w:rPr>
      <w:rFonts w:ascii="Courier New" w:hAnsi="Courier New" w:cs="Times New Roman"/>
      <w:sz w:val="20"/>
    </w:rPr>
  </w:style>
  <w:style w:type="character" w:styleId="HTMLVariable">
    <w:name w:val="HTML Variable"/>
    <w:basedOn w:val="DefaultParagraphFont"/>
    <w:uiPriority w:val="99"/>
    <w:semiHidden/>
    <w:rsid w:val="005B41F6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5B41F6"/>
    <w:rPr>
      <w:rFonts w:cs="Times New Roman"/>
      <w:color w:val="auto"/>
      <w:u w:val="none"/>
    </w:rPr>
  </w:style>
  <w:style w:type="paragraph" w:styleId="List">
    <w:name w:val="List"/>
    <w:basedOn w:val="Normal"/>
    <w:uiPriority w:val="99"/>
    <w:semiHidden/>
    <w:rsid w:val="005B41F6"/>
    <w:pPr>
      <w:ind w:left="283" w:hanging="283"/>
    </w:pPr>
  </w:style>
  <w:style w:type="paragraph" w:styleId="List2">
    <w:name w:val="List 2"/>
    <w:basedOn w:val="Normal"/>
    <w:uiPriority w:val="99"/>
    <w:semiHidden/>
    <w:rsid w:val="005B41F6"/>
    <w:pPr>
      <w:ind w:left="566" w:hanging="283"/>
    </w:pPr>
  </w:style>
  <w:style w:type="paragraph" w:styleId="List3">
    <w:name w:val="List 3"/>
    <w:basedOn w:val="Normal"/>
    <w:uiPriority w:val="99"/>
    <w:semiHidden/>
    <w:rsid w:val="005B41F6"/>
    <w:pPr>
      <w:ind w:left="849" w:hanging="283"/>
    </w:pPr>
  </w:style>
  <w:style w:type="paragraph" w:styleId="List4">
    <w:name w:val="List 4"/>
    <w:basedOn w:val="Normal"/>
    <w:uiPriority w:val="99"/>
    <w:semiHidden/>
    <w:rsid w:val="005B41F6"/>
    <w:pPr>
      <w:ind w:left="1132" w:hanging="283"/>
    </w:pPr>
  </w:style>
  <w:style w:type="paragraph" w:styleId="List5">
    <w:name w:val="List 5"/>
    <w:basedOn w:val="Normal"/>
    <w:uiPriority w:val="99"/>
    <w:semiHidden/>
    <w:rsid w:val="005B41F6"/>
    <w:pPr>
      <w:ind w:left="1415" w:hanging="283"/>
    </w:pPr>
  </w:style>
  <w:style w:type="paragraph" w:styleId="ListBullet">
    <w:name w:val="List Bullet"/>
    <w:basedOn w:val="Normal"/>
    <w:uiPriority w:val="99"/>
    <w:semiHidden/>
    <w:rsid w:val="005B41F6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rsid w:val="005B41F6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rsid w:val="005B41F6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rsid w:val="005B41F6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rsid w:val="005B41F6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rsid w:val="005B41F6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5B41F6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5B41F6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5B41F6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5B41F6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5B41F6"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ListNumber2">
    <w:name w:val="List Number 2"/>
    <w:basedOn w:val="Normal"/>
    <w:uiPriority w:val="99"/>
    <w:semiHidden/>
    <w:rsid w:val="005B41F6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stNumber3">
    <w:name w:val="List Number 3"/>
    <w:basedOn w:val="Normal"/>
    <w:uiPriority w:val="99"/>
    <w:semiHidden/>
    <w:rsid w:val="005B41F6"/>
    <w:pPr>
      <w:numPr>
        <w:numId w:val="3"/>
      </w:numPr>
    </w:pPr>
  </w:style>
  <w:style w:type="paragraph" w:styleId="ListNumber4">
    <w:name w:val="List Number 4"/>
    <w:basedOn w:val="Normal"/>
    <w:uiPriority w:val="99"/>
    <w:semiHidden/>
    <w:rsid w:val="005B41F6"/>
    <w:pPr>
      <w:numPr>
        <w:numId w:val="1"/>
      </w:numPr>
      <w:tabs>
        <w:tab w:val="clear" w:pos="360"/>
        <w:tab w:val="num" w:pos="1209"/>
      </w:tabs>
      <w:ind w:left="1209"/>
    </w:pPr>
  </w:style>
  <w:style w:type="paragraph" w:styleId="ListNumber5">
    <w:name w:val="List Number 5"/>
    <w:basedOn w:val="Normal"/>
    <w:uiPriority w:val="99"/>
    <w:semiHidden/>
    <w:rsid w:val="005B41F6"/>
    <w:pPr>
      <w:numPr>
        <w:numId w:val="2"/>
      </w:numPr>
      <w:tabs>
        <w:tab w:val="clear" w:pos="643"/>
        <w:tab w:val="num" w:pos="1492"/>
      </w:tabs>
      <w:ind w:left="1492"/>
    </w:pPr>
  </w:style>
  <w:style w:type="paragraph" w:styleId="MessageHeader">
    <w:name w:val="Message Header"/>
    <w:basedOn w:val="Normal"/>
    <w:link w:val="MessageHeaderChar"/>
    <w:uiPriority w:val="99"/>
    <w:semiHidden/>
    <w:rsid w:val="005B41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5B41F6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5B41F6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5B41F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B41F6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B41F6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5B41F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99"/>
    <w:qFormat/>
    <w:rsid w:val="005B41F6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rsid w:val="005B41F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B41F6"/>
    <w:rPr>
      <w:rFonts w:ascii="Arial" w:hAnsi="Arial" w:cs="Arial"/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B41F6"/>
    <w:pPr>
      <w:suppressAutoHyphens/>
      <w:spacing w:line="240" w:lineRule="atLeast"/>
    </w:pPr>
    <w:rPr>
      <w:rFonts w:ascii="Times New Roman" w:eastAsia="Times New Roman" w:hAnsi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5B41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B41F6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EnvelopeAddress">
    <w:name w:val="envelope address"/>
    <w:basedOn w:val="Normal"/>
    <w:uiPriority w:val="99"/>
    <w:semiHidden/>
    <w:rsid w:val="005B41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rsid w:val="005B41F6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locked/>
    <w:rsid w:val="005B41F6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aliases w:val="6_G"/>
    <w:basedOn w:val="Normal"/>
    <w:link w:val="HeaderChar"/>
    <w:uiPriority w:val="99"/>
    <w:rsid w:val="005B41F6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locked/>
    <w:rsid w:val="005B41F6"/>
    <w:rPr>
      <w:rFonts w:ascii="Times New Roman" w:hAnsi="Times New Roman" w:cs="Times New Roman"/>
      <w:b/>
      <w:sz w:val="20"/>
      <w:szCs w:val="20"/>
      <w:lang w:val="en-GB"/>
    </w:rPr>
  </w:style>
  <w:style w:type="character" w:customStyle="1" w:styleId="SingleTxtGChar">
    <w:name w:val="_ Single Txt_G Char"/>
    <w:link w:val="SingleTxtG"/>
    <w:uiPriority w:val="99"/>
    <w:locked/>
    <w:rsid w:val="005B41F6"/>
    <w:rPr>
      <w:rFonts w:ascii="Times New Roman" w:hAnsi="Times New Roman"/>
      <w:sz w:val="20"/>
      <w:lang w:val="en-GB"/>
    </w:rPr>
  </w:style>
  <w:style w:type="paragraph" w:customStyle="1" w:styleId="Default">
    <w:name w:val="Default"/>
    <w:uiPriority w:val="99"/>
    <w:rsid w:val="005B41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SingleTxt">
    <w:name w:val="__Single Txt"/>
    <w:basedOn w:val="Normal"/>
    <w:uiPriority w:val="99"/>
    <w:rsid w:val="005B41F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exact"/>
      <w:ind w:left="1267" w:right="1267"/>
      <w:jc w:val="both"/>
    </w:pPr>
    <w:rPr>
      <w:spacing w:val="4"/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B4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B41F6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B4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41F6"/>
    <w:rPr>
      <w:rFonts w:ascii="Tahoma" w:hAnsi="Tahoma" w:cs="Tahoma"/>
      <w:sz w:val="16"/>
      <w:szCs w:val="16"/>
      <w:lang w:val="en-GB"/>
    </w:rPr>
  </w:style>
  <w:style w:type="numbering" w:styleId="ArticleSection">
    <w:name w:val="Outline List 3"/>
    <w:basedOn w:val="NoList"/>
    <w:uiPriority w:val="99"/>
    <w:semiHidden/>
    <w:unhideWhenUsed/>
    <w:locked/>
    <w:rsid w:val="00276A7F"/>
    <w:pPr>
      <w:numPr>
        <w:numId w:val="23"/>
      </w:numPr>
    </w:pPr>
  </w:style>
  <w:style w:type="numbering" w:styleId="1ai">
    <w:name w:val="Outline List 1"/>
    <w:basedOn w:val="NoList"/>
    <w:uiPriority w:val="99"/>
    <w:semiHidden/>
    <w:unhideWhenUsed/>
    <w:locked/>
    <w:rsid w:val="00276A7F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locked/>
    <w:rsid w:val="00276A7F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11</Pages>
  <Words>5566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Объединенных Наций</dc:title>
  <dc:subject/>
  <dc:creator>Innulya</dc:creator>
  <cp:keywords/>
  <dc:description/>
  <cp:lastModifiedBy>Staff Member</cp:lastModifiedBy>
  <cp:revision>4</cp:revision>
  <dcterms:created xsi:type="dcterms:W3CDTF">2013-11-12T12:00:00Z</dcterms:created>
  <dcterms:modified xsi:type="dcterms:W3CDTF">2013-11-12T16:07:00Z</dcterms:modified>
</cp:coreProperties>
</file>